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London Public-Records Ledger</w:t>
      </w:r>
    </w:p>
    <w:p>
      <w:pPr>
        <w:pStyle w:val="BodyText"/>
      </w:pPr>
      <w:r>
        <w:t xml:space="preserve">City of London · Ontario</w:t>
      </w:r>
      <w:r>
        <w:t xml:space="preserve">Public Records</w:t>
      </w:r>
    </w:p>
    <w:bookmarkStart w:id="9" w:name="the-public-records-ledger"/>
    <w:p>
      <w:pPr>
        <w:pStyle w:val="Heading1"/>
      </w:pPr>
      <w:r>
        <w:t xml:space="preserve">The Public-Records Ledger</w:t>
      </w:r>
    </w:p>
    <w:p>
      <w:pPr>
        <w:pStyle w:val="FirstParagraph"/>
      </w:pPr>
      <w:r>
        <w:t xml:space="preserve">A source-locked review of what the City's own published documents establish about capital spending, procurement, salary disclosure, development-charge reserves and infrastructure backlog — and what they don't.</w:t>
      </w:r>
    </w:p>
    <w:p>
      <w:pPr>
        <w:pStyle w:val="BodyText"/>
      </w:pPr>
      <w:r>
        <w:t xml:space="preserve">Prepared by</w:t>
      </w:r>
      <w:r>
        <w:t xml:space="preserve">Raj Gandhi</w:t>
      </w:r>
    </w:p>
    <w:p>
      <w:pPr>
        <w:pStyle w:val="BodyText"/>
      </w:pPr>
      <w:r>
        <w:t xml:space="preserve">Edition</w:t>
      </w:r>
      <w:r>
        <w:t xml:space="preserve">Verified Edition 3.0</w:t>
      </w:r>
    </w:p>
    <w:p>
      <w:pPr>
        <w:pStyle w:val="BodyText"/>
      </w:pPr>
      <w:r>
        <w:t xml:space="preserve">Evidence lock</w:t>
      </w:r>
      <w:r>
        <w:t xml:space="preserve">2026-08-20</w:t>
      </w:r>
    </w:p>
    <w:p>
      <w:pPr>
        <w:pStyle w:val="BodyText"/>
      </w:pPr>
      <w:r>
        <w:t xml:space="preserve">Status</w:t>
      </w:r>
      <w:r>
        <w:t xml:space="preserve">Independent review — not an official audit</w:t>
      </w:r>
    </w:p>
    <w:p>
      <w:pPr>
        <w:pStyle w:val="BodyText"/>
      </w:pPr>
      <w:r>
        <w:rPr>
          <w:b/>
          <w:bCs/>
        </w:rPr>
        <w:t xml:space="preserve">What changed from Edition 2.0:</w:t>
      </w:r>
      <w:r>
        <w:t xml:space="preserve"> </w:t>
      </w:r>
      <w:r>
        <w:t xml:space="preserve">Edition 2.0 (2026-07-26) removed nine modules because the underlying workbooks could not be located or reproduced. This edition goes back to the original public records — the City's Bids and Tenders contract-award history, the Ontario Sunshine List filtered to City of London, the 2023 Corporate Asset Management Plan, the 2025 DC Reserve Fund monitoring report, individually verified CIP council approvals, and the City's own KPMG-audited Consolidated Financial Statements — and re-derives six of those modules from scratch (procurement, the infrastructure gap, salary, CIP, and reserve/development-charge pressure combined into one module), plus two net-new modules an audited financial statement makes possible (an operating budget-versus-actual by service, and a full financial-condition read), a primary-source Audit Committee letter from Susan Stevenson on the City's own Housing/Homelessness Hub cost audit (§14), and five verified named-project case files (§15). Four modules remain excluded; §18 explains why. §19 scores a further twelve-point research brief against what's actually in evidence today. §16 benchmarks London's public-accountability infrastructure against eight peer cities, and §17 places this edition's strongest criticisms directly beside its strongest City-favourable findings.</w:t>
      </w:r>
    </w:p>
    <w:bookmarkEnd w:id="9"/>
    <w:bookmarkStart w:id="12" w:name="executive-verdict"/>
    <w:p>
      <w:pPr>
        <w:pStyle w:val="Heading2"/>
      </w:pPr>
      <w:r>
        <w:t xml:space="preserve">Executive verdict</w:t>
      </w:r>
    </w:p>
    <w:p>
      <w:pPr>
        <w:pStyle w:val="FirstParagraph"/>
      </w:pPr>
      <w:r>
        <w:t xml:space="preserve">What the combined record actually supports</w:t>
      </w:r>
    </w:p>
    <w:p>
      <w:pPr>
        <w:pStyle w:val="BodyText"/>
      </w:pPr>
      <w:r>
        <w:t xml:space="preserve">The defensible finding is still a</w:t>
      </w:r>
      <w:r>
        <w:t xml:space="preserve"> </w:t>
      </w:r>
      <w:r>
        <w:rPr>
          <w:b/>
          <w:bCs/>
        </w:rPr>
        <w:t xml:space="preserve">disclosure-design problem, not a proven spending scandal</w:t>
      </w:r>
      <w:r>
        <w:t xml:space="preserve">. But the record now available makes that problem quantifiable rather than asserted: roughly seven in ten contract-award records the City has posted publicly carry no visible dollar figure; the City's own May 2025 monitoring report says its development-charge reserve funds face a growing risk of being "financially unsustainable" in the City's own words; and the 2023 infrastructure-gap figure the City publishes has nearly doubled since the 2019 cycle.</w:t>
      </w:r>
    </w:p>
    <w:p>
      <w:pPr>
        <w:pStyle w:val="BodyText"/>
      </w:pPr>
      <w:r>
        <w:t xml:space="preserve">None of that proves misspending. Each of these is a structural or disclosure pattern the City has itself published or made discoverable — this edition's job was to verify each number against its source and state plainly what it does and does not prove.</w:t>
      </w:r>
    </w:p>
    <w:bookmarkStart w:id="11" w:name="whats-newly-safe-to-use-publicly"/>
    <w:p>
      <w:pPr>
        <w:pStyle w:val="Heading3"/>
      </w:pPr>
      <w:r>
        <w:t xml:space="preserve">What's newly safe to use publicly</w:t>
      </w:r>
    </w:p>
    <w:bookmarkStart w:id="10" w:name="reinstated-with-new-sourcing"/>
    <w:p>
      <w:pPr>
        <w:pStyle w:val="Heading4"/>
      </w:pPr>
      <w:r>
        <w:t xml:space="preserve">Reinstated with new sourcing</w:t>
      </w:r>
    </w:p>
    <w:p>
      <w:pPr>
        <w:pStyle w:val="Compact"/>
        <w:numPr>
          <w:ilvl w:val="0"/>
          <w:numId w:val="1001"/>
        </w:numPr>
      </w:pPr>
      <w:r>
        <w:t xml:space="preserve">Contract-award concentration and disclosure-rate figures, computed directly from 1,978 scraped Bids and Tenders award records (§9).</w:t>
      </w:r>
    </w:p>
    <w:p>
      <w:pPr>
        <w:pStyle w:val="Compact"/>
        <w:numPr>
          <w:ilvl w:val="0"/>
          <w:numId w:val="1001"/>
        </w:numPr>
      </w:pPr>
      <w:r>
        <w:t xml:space="preserve">The 2023 Corporate Asset Management Plan's $946.1M infrastructure gap and its three-cycle growth trend (§5).</w:t>
      </w:r>
    </w:p>
    <w:p>
      <w:pPr>
        <w:pStyle w:val="Compact"/>
        <w:numPr>
          <w:ilvl w:val="0"/>
          <w:numId w:val="1001"/>
        </w:numPr>
      </w:pPr>
      <w:r>
        <w:t xml:space="preserve">Development-charge reserve fund pressure — cumulative revenue shortfall, debt exposure and reserve balances — from the City's own 2025 monitoring report (§10).</w:t>
      </w:r>
    </w:p>
    <w:p>
      <w:pPr>
        <w:pStyle w:val="Compact"/>
        <w:numPr>
          <w:ilvl w:val="0"/>
          <w:numId w:val="1001"/>
        </w:numPr>
      </w:pPr>
      <w:r>
        <w:t xml:space="preserve">Ontario Sunshine List compensation and headcount trends for City of London staff, 2021–2025 (§12).</w:t>
      </w:r>
    </w:p>
    <w:p>
      <w:pPr>
        <w:pStyle w:val="Compact"/>
        <w:numPr>
          <w:ilvl w:val="0"/>
          <w:numId w:val="1001"/>
        </w:numPr>
      </w:pPr>
      <w:r>
        <w:t xml:space="preserve">Two individually source-quoted CIP incentive approvals (§13).</w:t>
      </w:r>
    </w:p>
    <w:p>
      <w:pPr>
        <w:pStyle w:val="Compact"/>
        <w:numPr>
          <w:ilvl w:val="0"/>
          <w:numId w:val="1001"/>
        </w:numPr>
      </w:pPr>
      <w:r>
        <w:t xml:space="preserve">Susan Stevenson's primary-source dissenting letter on the City's own Housing/Homelessness Hub cost audit (§14).</w:t>
      </w:r>
    </w:p>
    <w:p>
      <w:pPr>
        <w:pStyle w:val="Compact"/>
        <w:numPr>
          <w:ilvl w:val="0"/>
          <w:numId w:val="1001"/>
        </w:numPr>
      </w:pPr>
      <w:r>
        <w:t xml:space="preserve">Five source-checked case files on named capital projects, including one the research brief asked about that doesn't check out as framed (§15).</w:t>
      </w:r>
    </w:p>
    <w:bookmarkEnd w:id="10"/>
    <w:bookmarkEnd w:id="11"/>
    <w:bookmarkEnd w:id="12"/>
    <w:bookmarkStart w:id="13" w:name="verification-standard"/>
    <w:p>
      <w:pPr>
        <w:pStyle w:val="Heading2"/>
      </w:pPr>
      <w:r>
        <w:t xml:space="preserve">Verification standard</w:t>
      </w:r>
    </w:p>
    <w:p>
      <w:pPr>
        <w:pStyle w:val="FirstParagraph"/>
      </w:pPr>
      <w:r>
        <w:t xml:space="preserve">Unchanged from Edition 2.0 — every reinstated figure was re-tested against it</w:t>
      </w:r>
    </w:p>
    <w:p>
      <w:pPr>
        <w:pStyle w:val="BodyText"/>
      </w:pPr>
      <w:r>
        <w:t xml:space="preserve">A claim is retained only when it passes all five tests below. Nothing in this edition gets a pass on four of five.</w:t>
      </w:r>
    </w:p>
    <w:p>
      <w:pPr>
        <w:pStyle w:val="BodyText"/>
      </w:pPr>
      <w:r>
        <w:t xml:space="preserve">Primary-source Appears in an official City document, portal, or a document the City itself published</w:t>
      </w:r>
    </w:p>
    <w:p>
      <w:pPr>
        <w:pStyle w:val="BodyText"/>
      </w:pPr>
      <w:r>
        <w:t xml:space="preserve">Scope Time period, support type, unit and status are explicit</w:t>
      </w:r>
    </w:p>
    <w:p>
      <w:pPr>
        <w:pStyle w:val="BodyText"/>
      </w:pPr>
      <w:r>
        <w:t xml:space="preserve">Status Approval ≠ budget ≠ award ≠ payment ≠ outcome</w:t>
      </w:r>
    </w:p>
    <w:p>
      <w:pPr>
        <w:pStyle w:val="BodyText"/>
      </w:pPr>
      <w:r>
        <w:t xml:space="preserve">Reproduction Arithmetic can be recalculated from displayed source figures</w:t>
      </w:r>
    </w:p>
    <w:p>
      <w:pPr>
        <w:pStyle w:val="BodyText"/>
      </w:pPr>
      <w:r>
        <w:t xml:space="preserve">Language Interpretation never exceeds what the source proves</w:t>
      </w:r>
    </w:p>
    <w:p>
      <w:pPr>
        <w:pStyle w:val="BodyText"/>
      </w:pPr>
      <w:r>
        <w:rPr>
          <w:b/>
          <w:bCs/>
        </w:rPr>
        <w:t xml:space="preserve">No absolute certainty:</w:t>
      </w:r>
      <w:r>
        <w:t xml:space="preserve"> </w:t>
      </w:r>
      <w:r>
        <w:t xml:space="preserve">No absolute certainty Records can be amended, corrected, reclassified or superseded. The strongest attainable standard is source-locked, reproducible and explicitly scoped — not "100% accurate."</w:t>
      </w:r>
    </w:p>
    <w:bookmarkEnd w:id="13"/>
    <w:bookmarkStart w:id="15" w:name="Xd60a7b376fe32ddcc01f2ac1b1391a06e8e5125"/>
    <w:p>
      <w:pPr>
        <w:pStyle w:val="Heading2"/>
      </w:pPr>
      <w:r>
        <w:t xml:space="preserve">Current capital plan — official 2026 figures</w:t>
      </w:r>
    </w:p>
    <w:p>
      <w:pPr>
        <w:pStyle w:val="FirstParagraph"/>
      </w:pPr>
      <w:r>
        <w:t xml:space="preserve">Carried forward from Edition 2.0, unchanged</w:t>
      </w:r>
    </w:p>
    <w:p>
      <w:pPr>
        <w:pStyle w:val="BodyText"/>
      </w:pPr>
      <w:r>
        <w:t xml:space="preserve">The 2026 Annual Budget Update reports three separate 2024–2033 capital plans. Figures in millions, subject to rounding.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Support type</w:t>
            </w:r>
          </w:p>
        </w:tc>
        <w:tc>
          <w:tcPr/>
          <w:p>
            <w:pPr>
              <w:pStyle w:val="Compact"/>
            </w:pPr>
            <w:r>
              <w:t xml:space="preserve">Lifecycle renewal</w:t>
            </w:r>
          </w:p>
        </w:tc>
        <w:tc>
          <w:tcPr/>
          <w:p>
            <w:pPr>
              <w:pStyle w:val="Compact"/>
            </w:pPr>
            <w:r>
              <w:t xml:space="preserve">Growth</w:t>
            </w:r>
          </w:p>
        </w:tc>
        <w:tc>
          <w:tcPr/>
          <w:p>
            <w:pPr>
              <w:pStyle w:val="Compact"/>
            </w:pPr>
            <w:r>
              <w:t xml:space="preserve">Service improvement</w:t>
            </w:r>
          </w:p>
        </w:tc>
        <w:tc>
          <w:tcPr/>
          <w:p>
            <w:pPr>
              <w:pStyle w:val="Compact"/>
            </w:pPr>
            <w:r>
              <w:t xml:space="preserve">Total</w:t>
            </w:r>
          </w:p>
        </w:tc>
      </w:tr>
      <w:tr>
        <w:tc>
          <w:tcPr/>
          <w:p>
            <w:pPr>
              <w:pStyle w:val="Compact"/>
            </w:pPr>
            <w:r>
              <w:t xml:space="preserve">Property tax</w:t>
            </w:r>
          </w:p>
        </w:tc>
        <w:tc>
          <w:tcPr/>
          <w:p>
            <w:pPr>
              <w:pStyle w:val="Compact"/>
            </w:pPr>
            <w:r>
              <w:t xml:space="preserve">$1,497M</w:t>
            </w:r>
          </w:p>
        </w:tc>
        <w:tc>
          <w:tcPr/>
          <w:p>
            <w:pPr>
              <w:pStyle w:val="Compact"/>
            </w:pPr>
            <w:r>
              <w:t xml:space="preserve">$1,212M</w:t>
            </w:r>
          </w:p>
        </w:tc>
        <w:tc>
          <w:tcPr/>
          <w:p>
            <w:pPr>
              <w:pStyle w:val="Compact"/>
            </w:pPr>
            <w:r>
              <w:t xml:space="preserve">$879M</w:t>
            </w:r>
          </w:p>
        </w:tc>
        <w:tc>
          <w:tcPr/>
          <w:p>
            <w:pPr>
              <w:pStyle w:val="Compact"/>
            </w:pPr>
            <w:r>
              <w:rPr>
                <w:b/>
                <w:bCs/>
              </w:rPr>
              <w:t xml:space="preserve">$3,588M</w:t>
            </w:r>
          </w:p>
        </w:tc>
      </w:tr>
      <w:tr>
        <w:tc>
          <w:tcPr/>
          <w:p>
            <w:pPr>
              <w:pStyle w:val="Compact"/>
            </w:pPr>
            <w:r>
              <w:t xml:space="preserve">Water</w:t>
            </w:r>
          </w:p>
        </w:tc>
        <w:tc>
          <w:tcPr/>
          <w:p>
            <w:pPr>
              <w:pStyle w:val="Compact"/>
            </w:pPr>
            <w:r>
              <w:t xml:space="preserve">$536M</w:t>
            </w:r>
          </w:p>
        </w:tc>
        <w:tc>
          <w:tcPr/>
          <w:p>
            <w:pPr>
              <w:pStyle w:val="Compact"/>
            </w:pPr>
            <w:r>
              <w:t xml:space="preserve">$162M</w:t>
            </w:r>
          </w:p>
        </w:tc>
        <w:tc>
          <w:tcPr/>
          <w:p>
            <w:pPr>
              <w:pStyle w:val="Compact"/>
            </w:pPr>
            <w:r>
              <w:t xml:space="preserve">$9M</w:t>
            </w:r>
          </w:p>
        </w:tc>
        <w:tc>
          <w:tcPr/>
          <w:p>
            <w:pPr>
              <w:pStyle w:val="Compact"/>
            </w:pPr>
            <w:r>
              <w:rPr>
                <w:b/>
                <w:bCs/>
              </w:rPr>
              <w:t xml:space="preserve">$707M</w:t>
            </w:r>
          </w:p>
        </w:tc>
      </w:tr>
      <w:tr>
        <w:tc>
          <w:tcPr/>
          <w:p>
            <w:pPr>
              <w:pStyle w:val="Compact"/>
            </w:pPr>
            <w:r>
              <w:t xml:space="preserve">Wastewater &amp; treatment</w:t>
            </w:r>
          </w:p>
        </w:tc>
        <w:tc>
          <w:tcPr/>
          <w:p>
            <w:pPr>
              <w:pStyle w:val="Compact"/>
            </w:pPr>
            <w:r>
              <w:t xml:space="preserve">$732M</w:t>
            </w:r>
          </w:p>
        </w:tc>
        <w:tc>
          <w:tcPr/>
          <w:p>
            <w:pPr>
              <w:pStyle w:val="Compact"/>
            </w:pPr>
            <w:r>
              <w:t xml:space="preserve">$418M</w:t>
            </w:r>
          </w:p>
        </w:tc>
        <w:tc>
          <w:tcPr/>
          <w:p>
            <w:pPr>
              <w:pStyle w:val="Compact"/>
            </w:pPr>
            <w:r>
              <w:t xml:space="preserve">$318M</w:t>
            </w:r>
          </w:p>
        </w:tc>
        <w:tc>
          <w:tcPr/>
          <w:p>
            <w:pPr>
              <w:pStyle w:val="Compact"/>
            </w:pPr>
            <w:r>
              <w:rPr>
                <w:b/>
                <w:bCs/>
              </w:rPr>
              <w:t xml:space="preserve">$1,469M</w:t>
            </w:r>
          </w:p>
        </w:tc>
      </w:tr>
    </w:tbl>
    <w:p>
      <w:pPr>
        <w:pStyle w:val="BodyText"/>
      </w:pPr>
      <w:r>
        <w:rPr>
          <w:b/>
          <w:bCs/>
        </w:rPr>
        <w:t xml:space="preserve">SOURCE LOCK:</w:t>
      </w:r>
      <w:r>
        <w:t xml:space="preserve"> </w:t>
      </w:r>
      <w:r>
        <w:t xml:space="preserve">SOURCE LOCK City of London, 2026 Annual Budget Update — Budget in Brief tables, printed pages 10, 14 and 17.</w:t>
      </w:r>
    </w:p>
    <w:p>
      <w:pPr>
        <w:pStyle w:val="BodyText"/>
      </w:pPr>
      <w:r>
        <w:rPr>
          <w:b/>
          <w:bCs/>
        </w:rPr>
        <w:t xml:space="preserve">Correct interpretation:</w:t>
      </w:r>
      <w:r>
        <w:t xml:space="preserve"> </w:t>
      </w:r>
      <w:r>
        <w:t xml:space="preserve">Correct interpretation The three support types are separate official budgets and should always be labelled by support type. A capital-plan amount is budget authority, not proof of payment, final cost or completion. "Service improvement" is defined by the City as optional-but-compelling, not wasteful.</w:t>
      </w:r>
    </w:p>
    <w:bookmarkStart w:id="14" w:name="Xe5efefb4908f5d6de6558586326ea9ebf9b3d4d"/>
    <w:p>
      <w:pPr>
        <w:pStyle w:val="Heading3"/>
      </w:pPr>
      <w:r>
        <w:t xml:space="preserve">The named projects behind "service improvement" — recomputed from the source file</w:t>
      </w:r>
    </w:p>
    <w:p>
      <w:pPr>
        <w:pStyle w:val="FirstParagraph"/>
      </w:pPr>
      <w:r>
        <w:t xml:space="preserve">An earlier pass at this table cited two figures (a $78.0M "Roadmap to 3,000" project and a $20.75M Fanshawe College grant) that don't hold up. Recomputed directly from the City's own</w:t>
      </w:r>
      <w:r>
        <w:t xml:space="preserve"> </w:t>
      </w:r>
      <w:r>
        <w:rPr>
          <w:i/>
          <w:iCs/>
        </w:rPr>
        <w:t xml:space="preserve">2024–2027 Multi-Year Approved Budget — Capital Plan by Project</w:t>
      </w:r>
      <w:r>
        <w:t xml:space="preserve"> </w:t>
      </w:r>
      <w:r>
        <w:t xml:space="preserve">workbook — summing every financing-source row per project across all ten budget years (2024–2033), across the Tax Supported, Water and Wastewater funds — the real top five are: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Project</w:t>
            </w:r>
          </w:p>
        </w:tc>
        <w:tc>
          <w:tcPr/>
          <w:p>
            <w:pPr>
              <w:pStyle w:val="Compact"/>
            </w:pPr>
            <w:r>
              <w:t xml:space="preserve">Service</w:t>
            </w:r>
          </w:p>
        </w:tc>
        <w:tc>
          <w:tcPr/>
          <w:p>
            <w:pPr>
              <w:pStyle w:val="Compact"/>
            </w:pPr>
            <w:r>
              <w:t xml:space="preserve">2024–2033 budget</w:t>
            </w:r>
          </w:p>
        </w:tc>
      </w:tr>
      <w:tr>
        <w:tc>
          <w:tcPr/>
          <w:p>
            <w:pPr>
              <w:pStyle w:val="Compact"/>
            </w:pPr>
            <w:r>
              <w:t xml:space="preserve">MU1450 — Highbury Facility Demolition &amp; Rebuild</w:t>
            </w:r>
          </w:p>
        </w:tc>
        <w:tc>
          <w:tcPr/>
          <w:p>
            <w:pPr>
              <w:pStyle w:val="Compact"/>
            </w:pPr>
            <w:r>
              <w:t xml:space="preserve">Corporate Services / London Transit Commission</w:t>
            </w:r>
          </w:p>
        </w:tc>
        <w:tc>
          <w:tcPr/>
          <w:p>
            <w:pPr>
              <w:pStyle w:val="Compact"/>
            </w:pPr>
            <w:r>
              <w:t xml:space="preserve">$133.0M</w:t>
            </w:r>
          </w:p>
        </w:tc>
      </w:tr>
      <w:tr>
        <w:tc>
          <w:tcPr/>
          <w:p>
            <w:pPr>
              <w:pStyle w:val="Compact"/>
            </w:pPr>
            <w:r>
              <w:t xml:space="preserve">GG1542 — Master Accommodation Plan</w:t>
            </w:r>
          </w:p>
        </w:tc>
        <w:tc>
          <w:tcPr/>
          <w:p>
            <w:pPr>
              <w:pStyle w:val="Compact"/>
            </w:pPr>
            <w:r>
              <w:t xml:space="preserve">Corporate Services</w:t>
            </w:r>
          </w:p>
        </w:tc>
        <w:tc>
          <w:tcPr/>
          <w:p>
            <w:pPr>
              <w:pStyle w:val="Compact"/>
            </w:pPr>
            <w:r>
              <w:t xml:space="preserve">$125.5M</w:t>
            </w:r>
          </w:p>
        </w:tc>
      </w:tr>
      <w:tr>
        <w:tc>
          <w:tcPr/>
          <w:p>
            <w:pPr>
              <w:pStyle w:val="Compact"/>
            </w:pPr>
            <w:r>
              <w:t xml:space="preserve">SW6080 — Long Term Disposal Capacity</w:t>
            </w:r>
          </w:p>
        </w:tc>
        <w:tc>
          <w:tcPr/>
          <w:p>
            <w:pPr>
              <w:pStyle w:val="Compact"/>
            </w:pPr>
            <w:r>
              <w:t xml:space="preserve">Garbage, Recycling &amp; Composting</w:t>
            </w:r>
          </w:p>
        </w:tc>
        <w:tc>
          <w:tcPr/>
          <w:p>
            <w:pPr>
              <w:pStyle w:val="Compact"/>
            </w:pPr>
            <w:r>
              <w:t xml:space="preserve">$93.8M</w:t>
            </w:r>
          </w:p>
        </w:tc>
      </w:tr>
      <w:tr>
        <w:tc>
          <w:tcPr/>
          <w:p>
            <w:pPr>
              <w:pStyle w:val="Compact"/>
            </w:pPr>
            <w:r>
              <w:t xml:space="preserve">FS1095 — Fire Training Campus</w:t>
            </w:r>
          </w:p>
        </w:tc>
        <w:tc>
          <w:tcPr/>
          <w:p>
            <w:pPr>
              <w:pStyle w:val="Compact"/>
            </w:pPr>
            <w:r>
              <w:t xml:space="preserve">Fire Services</w:t>
            </w:r>
          </w:p>
        </w:tc>
        <w:tc>
          <w:tcPr/>
          <w:p>
            <w:pPr>
              <w:pStyle w:val="Compact"/>
            </w:pPr>
            <w:r>
              <w:t xml:space="preserve">$68.3M</w:t>
            </w:r>
          </w:p>
        </w:tc>
      </w:tr>
      <w:tr>
        <w:tc>
          <w:tcPr/>
          <w:p>
            <w:pPr>
              <w:pStyle w:val="Compact"/>
            </w:pPr>
            <w:r>
              <w:t xml:space="preserve">PP4484 — Police Headquarters Expansion</w:t>
            </w:r>
          </w:p>
        </w:tc>
        <w:tc>
          <w:tcPr/>
          <w:p>
            <w:pPr>
              <w:pStyle w:val="Compact"/>
            </w:pPr>
            <w:r>
              <w:t xml:space="preserve">Police Services</w:t>
            </w:r>
          </w:p>
        </w:tc>
        <w:tc>
          <w:tcPr/>
          <w:p>
            <w:pPr>
              <w:pStyle w:val="Compact"/>
            </w:pPr>
            <w:r>
              <w:t xml:space="preserve">$58.4M</w:t>
            </w:r>
          </w:p>
        </w:tc>
      </w:tr>
    </w:tbl>
    <w:p>
      <w:pPr>
        <w:pStyle w:val="BodyText"/>
      </w:pPr>
      <w:r>
        <w:t xml:space="preserve">Two large Wastewater-fund projects sit just below this Tax-Supported top five:</w:t>
      </w:r>
      <w:r>
        <w:t xml:space="preserve"> </w:t>
      </w:r>
      <w:r>
        <w:rPr>
          <w:b/>
          <w:bCs/>
        </w:rPr>
        <w:t xml:space="preserve">ES2474 — UTRCA Remediating Flood</w:t>
      </w:r>
      <w:r>
        <w:t xml:space="preserve"> </w:t>
      </w:r>
      <w:r>
        <w:t xml:space="preserve">($54.9M) and</w:t>
      </w:r>
      <w:r>
        <w:t xml:space="preserve"> </w:t>
      </w:r>
      <w:r>
        <w:rPr>
          <w:b/>
          <w:bCs/>
        </w:rPr>
        <w:t xml:space="preserve">ES5012 — Greenway WWTP New Section 1</w:t>
      </w:r>
      <w:r>
        <w:t xml:space="preserve"> </w:t>
      </w:r>
      <w:r>
        <w:t xml:space="preserve">($54.0M), both under Wastewater &amp; Treatment. Summed across all three funds, disclosed Service Improvement capital totals</w:t>
      </w:r>
      <w:r>
        <w:t xml:space="preserve"> </w:t>
      </w:r>
      <w:r>
        <w:rPr>
          <w:b/>
          <w:bCs/>
        </w:rPr>
        <w:t xml:space="preserve">$1.154B</w:t>
      </w:r>
      <w:r>
        <w:t xml:space="preserve"> </w:t>
      </w:r>
      <w:r>
        <w:t xml:space="preserve">over 2024–2033 — reasonably close to, and a different-vintage cross-check on, the $1.206B implied by the 2026 Annual Budget Update's $879M + $9M + $318M in the table above.</w:t>
      </w:r>
    </w:p>
    <w:p>
      <w:pPr>
        <w:pStyle w:val="BodyText"/>
      </w:pPr>
      <w:r>
        <w:rPr>
          <w:b/>
          <w:bCs/>
        </w:rPr>
        <w:t xml:space="preserve">SOURCE LOCK:</w:t>
      </w:r>
      <w:r>
        <w:t xml:space="preserve"> </w:t>
      </w:r>
      <w:r>
        <w:t xml:space="preserve">SOURCE LOCK City of London, 2024–2027 Multi-Year Approved Budget — Capital Plan 2024 to 2033 by Project (Tax Supported, Water, Wastewater &amp; Treatment) , Tax Supported / Water / Wastewater sheets, filtered to Classification = "Service Improvement," summed by project across all Source of Financing rows and all ten year columns.</w:t>
      </w:r>
    </w:p>
    <w:p>
      <w:pPr>
        <w:pStyle w:val="BodyText"/>
      </w:pPr>
      <w:r>
        <w:rPr>
          <w:b/>
          <w:bCs/>
        </w:rPr>
        <w:t xml:space="preserve">Reconciling Highbury:</w:t>
      </w:r>
      <w:r>
        <w:t xml:space="preserve"> </w:t>
      </w:r>
      <w:r>
        <w:t xml:space="preserve">Reconciling Highbury This workbook shows MU1450 at $133.0M for the 2024–2033 window — but London Transit Commission's own capital staff reports (londontransit.ca) put the project's full lifetime budget at ~$321.7M (Phase I $194.5M + Phase II $133.0M). The two now reconcile cleanly: Phase I was largely budgeted and spent in an earlier cycle that falls outside this 2024–2033 workbook's window, and the $133.0M captured here is Phase II. Use $321.7M for "what the project costs" and $133.0M for "what falls in the current ten-year capital plan" — they answer different questions, not competing ones.</w:t>
      </w:r>
    </w:p>
    <w:bookmarkEnd w:id="14"/>
    <w:bookmarkEnd w:id="15"/>
    <w:bookmarkStart w:id="18" w:name="Xab11ab4a667205c3ebf9f52f5b801245dad8226"/>
    <w:p>
      <w:pPr>
        <w:pStyle w:val="Heading2"/>
      </w:pPr>
      <w:r>
        <w:t xml:space="preserve">Operating budget versus actual, by service</w:t>
      </w:r>
    </w:p>
    <w:p>
      <w:pPr>
        <w:pStyle w:val="FirstParagraph"/>
      </w:pPr>
      <w:r>
        <w:t xml:space="preserve">New module — KPMG-audited Consolidated Financial Statements, Dec 31 2024</w:t>
      </w:r>
    </w:p>
    <w:p>
      <w:pPr>
        <w:pStyle w:val="BodyText"/>
      </w:pPr>
      <w:r>
        <w:t xml:space="preserve">The City's audited Consolidated Statement of Operations reports budget and actual for nine functional service categories under Canadian public-sector accounting standards (PSAB). This is a direct read of the audited statement, not a workbook re-derivation.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 (PSAB function)</w:t>
            </w:r>
          </w:p>
        </w:tc>
        <w:tc>
          <w:tcPr/>
          <w:p>
            <w:pPr>
              <w:pStyle w:val="Compact"/>
            </w:pPr>
            <w:r>
              <w:t xml:space="preserve">2024 Budget</w:t>
            </w:r>
          </w:p>
        </w:tc>
        <w:tc>
          <w:tcPr/>
          <w:p>
            <w:pPr>
              <w:pStyle w:val="Compact"/>
            </w:pPr>
            <w:r>
              <w:t xml:space="preserve">2024 Actual</w:t>
            </w:r>
          </w:p>
        </w:tc>
        <w:tc>
          <w:tcPr/>
          <w:p>
            <w:pPr>
              <w:pStyle w:val="Compact"/>
            </w:pPr>
            <w:r>
              <w:t xml:space="preserve">Variance</w:t>
            </w:r>
          </w:p>
        </w:tc>
      </w:tr>
      <w:tr>
        <w:tc>
          <w:tcPr/>
          <w:p>
            <w:pPr>
              <w:pStyle w:val="Compact"/>
            </w:pPr>
            <w:r>
              <w:t xml:space="preserve">General government</w:t>
            </w:r>
          </w:p>
        </w:tc>
        <w:tc>
          <w:tcPr/>
          <w:p>
            <w:pPr>
              <w:pStyle w:val="Compact"/>
            </w:pPr>
            <w:r>
              <w:t xml:space="preserve">$123.1M</w:t>
            </w:r>
          </w:p>
        </w:tc>
        <w:tc>
          <w:tcPr/>
          <w:p>
            <w:pPr>
              <w:pStyle w:val="Compact"/>
            </w:pPr>
            <w:r>
              <w:t xml:space="preserve">$101.1M</w:t>
            </w:r>
          </w:p>
        </w:tc>
        <w:tc>
          <w:tcPr/>
          <w:p>
            <w:pPr>
              <w:pStyle w:val="Compact"/>
            </w:pPr>
            <w:r>
              <w:t xml:space="preserve">−17.9%</w:t>
            </w:r>
          </w:p>
        </w:tc>
      </w:tr>
      <w:tr>
        <w:tc>
          <w:tcPr/>
          <w:p>
            <w:pPr>
              <w:pStyle w:val="Compact"/>
            </w:pPr>
            <w:r>
              <w:t xml:space="preserve">Protection services</w:t>
            </w:r>
          </w:p>
        </w:tc>
        <w:tc>
          <w:tcPr/>
          <w:p>
            <w:pPr>
              <w:pStyle w:val="Compact"/>
            </w:pPr>
            <w:r>
              <w:t xml:space="preserve">$299.3M</w:t>
            </w:r>
          </w:p>
        </w:tc>
        <w:tc>
          <w:tcPr/>
          <w:p>
            <w:pPr>
              <w:pStyle w:val="Compact"/>
            </w:pPr>
            <w:r>
              <w:t xml:space="preserve">$290.8M</w:t>
            </w:r>
          </w:p>
        </w:tc>
        <w:tc>
          <w:tcPr/>
          <w:p>
            <w:pPr>
              <w:pStyle w:val="Compact"/>
            </w:pPr>
            <w:r>
              <w:t xml:space="preserve">−2.8%</w:t>
            </w:r>
          </w:p>
        </w:tc>
      </w:tr>
      <w:tr>
        <w:tc>
          <w:tcPr/>
          <w:p>
            <w:pPr>
              <w:pStyle w:val="Compact"/>
            </w:pPr>
            <w:r>
              <w:t xml:space="preserve">Transportation services</w:t>
            </w:r>
          </w:p>
        </w:tc>
        <w:tc>
          <w:tcPr/>
          <w:p>
            <w:pPr>
              <w:pStyle w:val="Compact"/>
            </w:pPr>
            <w:r>
              <w:t xml:space="preserve">$268.1M</w:t>
            </w:r>
          </w:p>
        </w:tc>
        <w:tc>
          <w:tcPr/>
          <w:p>
            <w:pPr>
              <w:pStyle w:val="Compact"/>
            </w:pPr>
            <w:r>
              <w:t xml:space="preserve">$277.7M</w:t>
            </w:r>
          </w:p>
        </w:tc>
        <w:tc>
          <w:tcPr/>
          <w:p>
            <w:pPr>
              <w:pStyle w:val="Compact"/>
            </w:pPr>
            <w:r>
              <w:t xml:space="preserve">+3.6%</w:t>
            </w:r>
          </w:p>
        </w:tc>
      </w:tr>
      <w:tr>
        <w:tc>
          <w:tcPr/>
          <w:p>
            <w:pPr>
              <w:pStyle w:val="Compact"/>
            </w:pPr>
            <w:r>
              <w:t xml:space="preserve">Environmental services</w:t>
            </w:r>
          </w:p>
        </w:tc>
        <w:tc>
          <w:tcPr/>
          <w:p>
            <w:pPr>
              <w:pStyle w:val="Compact"/>
            </w:pPr>
            <w:r>
              <w:t xml:space="preserve">$217.1M</w:t>
            </w:r>
          </w:p>
        </w:tc>
        <w:tc>
          <w:tcPr/>
          <w:p>
            <w:pPr>
              <w:pStyle w:val="Compact"/>
            </w:pPr>
            <w:r>
              <w:t xml:space="preserve">$207.4M</w:t>
            </w:r>
          </w:p>
        </w:tc>
        <w:tc>
          <w:tcPr/>
          <w:p>
            <w:pPr>
              <w:pStyle w:val="Compact"/>
            </w:pPr>
            <w:r>
              <w:t xml:space="preserve">−4.4%</w:t>
            </w:r>
          </w:p>
        </w:tc>
      </w:tr>
      <w:tr>
        <w:tc>
          <w:tcPr/>
          <w:p>
            <w:pPr>
              <w:pStyle w:val="Compact"/>
            </w:pPr>
            <w:r>
              <w:t xml:space="preserve">Health services</w:t>
            </w:r>
          </w:p>
        </w:tc>
        <w:tc>
          <w:tcPr/>
          <w:p>
            <w:pPr>
              <w:pStyle w:val="Compact"/>
            </w:pPr>
            <w:r>
              <w:t xml:space="preserve">$46.6M</w:t>
            </w:r>
          </w:p>
        </w:tc>
        <w:tc>
          <w:tcPr/>
          <w:p>
            <w:pPr>
              <w:pStyle w:val="Compact"/>
            </w:pPr>
            <w:r>
              <w:t xml:space="preserve">$43.5M</w:t>
            </w:r>
          </w:p>
        </w:tc>
        <w:tc>
          <w:tcPr/>
          <w:p>
            <w:pPr>
              <w:pStyle w:val="Compact"/>
            </w:pPr>
            <w:r>
              <w:t xml:space="preserve">−6.6%</w:t>
            </w:r>
          </w:p>
        </w:tc>
      </w:tr>
      <w:tr>
        <w:tc>
          <w:tcPr/>
          <w:p>
            <w:pPr>
              <w:pStyle w:val="Compact"/>
            </w:pPr>
            <w:r>
              <w:t xml:space="preserve">Social and family services</w:t>
            </w:r>
          </w:p>
        </w:tc>
        <w:tc>
          <w:tcPr/>
          <w:p>
            <w:pPr>
              <w:pStyle w:val="Compact"/>
            </w:pPr>
            <w:r>
              <w:t xml:space="preserve">$380.0M</w:t>
            </w:r>
          </w:p>
        </w:tc>
        <w:tc>
          <w:tcPr/>
          <w:p>
            <w:pPr>
              <w:pStyle w:val="Compact"/>
            </w:pPr>
            <w:r>
              <w:t xml:space="preserve">$353.0M</w:t>
            </w:r>
          </w:p>
        </w:tc>
        <w:tc>
          <w:tcPr/>
          <w:p>
            <w:pPr>
              <w:pStyle w:val="Compact"/>
            </w:pPr>
            <w:r>
              <w:t xml:space="preserve">−7.1%</w:t>
            </w:r>
          </w:p>
        </w:tc>
      </w:tr>
      <w:tr>
        <w:tc>
          <w:tcPr/>
          <w:p>
            <w:pPr>
              <w:pStyle w:val="Compact"/>
            </w:pPr>
            <w:r>
              <w:t xml:space="preserve">Social housing</w:t>
            </w:r>
          </w:p>
        </w:tc>
        <w:tc>
          <w:tcPr/>
          <w:p>
            <w:pPr>
              <w:pStyle w:val="Compact"/>
            </w:pPr>
            <w:r>
              <w:t xml:space="preserve">$107.6M</w:t>
            </w:r>
          </w:p>
        </w:tc>
        <w:tc>
          <w:tcPr/>
          <w:p>
            <w:pPr>
              <w:pStyle w:val="Compact"/>
            </w:pPr>
            <w:r>
              <w:t xml:space="preserve">$77.3M</w:t>
            </w:r>
          </w:p>
        </w:tc>
        <w:tc>
          <w:tcPr/>
          <w:p>
            <w:pPr>
              <w:pStyle w:val="Compact"/>
            </w:pPr>
            <w:r>
              <w:t xml:space="preserve">−28.2%</w:t>
            </w:r>
          </w:p>
        </w:tc>
      </w:tr>
      <w:tr>
        <w:tc>
          <w:tcPr/>
          <w:p>
            <w:pPr>
              <w:pStyle w:val="Compact"/>
            </w:pPr>
            <w:r>
              <w:t xml:space="preserve">Recreation and cultural services</w:t>
            </w:r>
          </w:p>
        </w:tc>
        <w:tc>
          <w:tcPr/>
          <w:p>
            <w:pPr>
              <w:pStyle w:val="Compact"/>
            </w:pPr>
            <w:r>
              <w:t xml:space="preserve">$104.8M</w:t>
            </w:r>
          </w:p>
        </w:tc>
        <w:tc>
          <w:tcPr/>
          <w:p>
            <w:pPr>
              <w:pStyle w:val="Compact"/>
            </w:pPr>
            <w:r>
              <w:t xml:space="preserve">$103.5M</w:t>
            </w:r>
          </w:p>
        </w:tc>
        <w:tc>
          <w:tcPr/>
          <w:p>
            <w:pPr>
              <w:pStyle w:val="Compact"/>
            </w:pPr>
            <w:r>
              <w:t xml:space="preserve">−1.3%</w:t>
            </w:r>
          </w:p>
        </w:tc>
      </w:tr>
      <w:tr>
        <w:tc>
          <w:tcPr/>
          <w:p>
            <w:pPr>
              <w:pStyle w:val="Compact"/>
            </w:pPr>
            <w:r>
              <w:t xml:space="preserve">Planning and development</w:t>
            </w:r>
          </w:p>
        </w:tc>
        <w:tc>
          <w:tcPr/>
          <w:p>
            <w:pPr>
              <w:pStyle w:val="Compact"/>
            </w:pPr>
            <w:r>
              <w:t xml:space="preserve">$61.1M</w:t>
            </w:r>
          </w:p>
        </w:tc>
        <w:tc>
          <w:tcPr/>
          <w:p>
            <w:pPr>
              <w:pStyle w:val="Compact"/>
            </w:pPr>
            <w:r>
              <w:t xml:space="preserve">$46.2M</w:t>
            </w:r>
          </w:p>
        </w:tc>
        <w:tc>
          <w:tcPr/>
          <w:p>
            <w:pPr>
              <w:pStyle w:val="Compact"/>
            </w:pPr>
            <w:r>
              <w:t xml:space="preserve">−24.4%</w:t>
            </w:r>
          </w:p>
        </w:tc>
      </w:tr>
      <w:tr>
        <w:tc>
          <w:tcPr/>
          <w:p>
            <w:pPr>
              <w:pStyle w:val="Compact"/>
            </w:pPr>
            <w:r>
              <w:rPr>
                <w:b/>
                <w:bCs/>
              </w:rPr>
              <w:t xml:space="preserve">Total expenses</w:t>
            </w:r>
          </w:p>
        </w:tc>
        <w:tc>
          <w:tcPr/>
          <w:p>
            <w:pPr>
              <w:pStyle w:val="Compact"/>
            </w:pPr>
            <w:r>
              <w:rPr>
                <w:b/>
                <w:bCs/>
              </w:rPr>
              <w:t xml:space="preserve">$1,607.8M</w:t>
            </w:r>
          </w:p>
        </w:tc>
        <w:tc>
          <w:tcPr/>
          <w:p>
            <w:pPr>
              <w:pStyle w:val="Compact"/>
            </w:pPr>
            <w:r>
              <w:rPr>
                <w:b/>
                <w:bCs/>
              </w:rPr>
              <w:t xml:space="preserve">$1,500.5M</w:t>
            </w:r>
          </w:p>
        </w:tc>
        <w:tc>
          <w:tcPr/>
          <w:p>
            <w:pPr>
              <w:pStyle w:val="Compact"/>
            </w:pPr>
            <w:r>
              <w:rPr>
                <w:b/>
                <w:bCs/>
              </w:rPr>
              <w:t xml:space="preserve">−6.7%</w:t>
            </w:r>
          </w:p>
        </w:tc>
      </w:tr>
      <w:tr>
        <w:tc>
          <w:tcPr/>
          <w:p>
            <w:pPr>
              <w:pStyle w:val="Compact"/>
            </w:pPr>
            <w:r>
              <w:rPr>
                <w:b/>
                <w:bCs/>
              </w:rPr>
              <w:t xml:space="preserve">Total revenues</w:t>
            </w:r>
          </w:p>
        </w:tc>
        <w:tc>
          <w:tcPr/>
          <w:p>
            <w:pPr>
              <w:pStyle w:val="Compact"/>
            </w:pPr>
            <w:r>
              <w:rPr>
                <w:b/>
                <w:bCs/>
              </w:rPr>
              <w:t xml:space="preserve">$1,862.7M</w:t>
            </w:r>
          </w:p>
        </w:tc>
        <w:tc>
          <w:tcPr/>
          <w:p>
            <w:pPr>
              <w:pStyle w:val="Compact"/>
            </w:pPr>
            <w:r>
              <w:rPr>
                <w:b/>
                <w:bCs/>
              </w:rPr>
              <w:t xml:space="preserve">$1,918.5M</w:t>
            </w:r>
          </w:p>
        </w:tc>
        <w:tc>
          <w:tcPr/>
          <w:p>
            <w:pPr>
              <w:pStyle w:val="Compact"/>
            </w:pPr>
            <w:r>
              <w:rPr>
                <w:b/>
                <w:bCs/>
              </w:rPr>
              <w:t xml:space="preserve">+3.0%</w:t>
            </w:r>
          </w:p>
        </w:tc>
      </w:tr>
      <w:tr>
        <w:tc>
          <w:tcPr/>
          <w:p>
            <w:pPr>
              <w:pStyle w:val="Compact"/>
            </w:pPr>
            <w:r>
              <w:rPr>
                <w:b/>
                <w:bCs/>
              </w:rPr>
              <w:t xml:space="preserve">Annual surplus</w:t>
            </w:r>
          </w:p>
        </w:tc>
        <w:tc>
          <w:tcPr/>
          <w:p>
            <w:pPr>
              <w:pStyle w:val="Compact"/>
            </w:pPr>
            <w:r>
              <w:rPr>
                <w:b/>
                <w:bCs/>
              </w:rPr>
              <w:t xml:space="preserve">$255.0M</w:t>
            </w:r>
          </w:p>
        </w:tc>
        <w:tc>
          <w:tcPr/>
          <w:p>
            <w:pPr>
              <w:pStyle w:val="Compact"/>
            </w:pPr>
            <w:r>
              <w:rPr>
                <w:b/>
                <w:bCs/>
              </w:rPr>
              <w:t xml:space="preserve">$418.1M</w:t>
            </w:r>
          </w:p>
        </w:tc>
        <w:tc>
          <w:tcPr/>
          <w:p>
            <w:pPr>
              <w:pStyle w:val="Compact"/>
            </w:pPr>
            <w:r>
              <w:rPr>
                <w:b/>
                <w:bCs/>
              </w:rPr>
              <w:t xml:space="preserve">+63.9%</w:t>
            </w:r>
          </w:p>
        </w:tc>
      </w:tr>
    </w:tbl>
    <w:p>
      <w:pPr>
        <w:pStyle w:val="BodyText"/>
      </w:pPr>
      <w:r>
        <w:rPr>
          <w:b/>
          <w:bCs/>
        </w:rPr>
        <w:t xml:space="preserve">SOURCE LOCK:</w:t>
      </w:r>
      <w:r>
        <w:t xml:space="preserve"> </w:t>
      </w:r>
      <w:r>
        <w:t xml:space="preserve">SOURCE LOCK City of London, 2024 Consolidated Financial Statements (independent auditor: KPMG LLP) — Consolidated Statement of Operations, p.8.</w:t>
      </w:r>
    </w:p>
    <w:p>
      <w:pPr>
        <w:pStyle w:val="BodyText"/>
      </w:pPr>
      <w:r>
        <w:rPr>
          <w:b/>
          <w:bCs/>
        </w:rPr>
        <w:t xml:space="preserve">The two variances worth a records request:</w:t>
      </w:r>
      <w:r>
        <w:t xml:space="preserve"> </w:t>
      </w:r>
      <w:r>
        <w:t xml:space="preserve">The two variances worth a records request Social housing came in 28.2% under its $107.6M budget, and Planning and development 24.4% under its $61.1M budget — both large enough to be worth asking whether they reflect deferred delivery, staffing vacancies, or genuinely lower-than-planned need. The City also beat its own budgeted annual surplus by $163.1M (63.9%) — not evidence of anything improper, but the same disclosure question §1 raises about capital applies here: a wide gap between planned and actual, even a favourable one, is something the public record should let a resident trace to a reason.</w:t>
      </w:r>
    </w:p>
    <w:p>
      <w:pPr>
        <w:pStyle w:val="BodyText"/>
      </w:pPr>
      <w:r>
        <w:rPr>
          <w:b/>
          <w:bCs/>
        </w:rPr>
        <w:t xml:space="preserve">Scope limit:</w:t>
      </w:r>
      <w:r>
        <w:t xml:space="preserve"> </w:t>
      </w:r>
      <w:r>
        <w:t xml:space="preserve">Scope limit PSAB "functions" are broad — nine categories cover the entire City. They are not the granular per-service units (an individual recreation centre, an individual road class) a full operating-budget audit would need — that requires the City's internal service-level budget book, not the audited statement. This table is the real, audited top layer.</w:t>
      </w:r>
    </w:p>
    <w:bookmarkStart w:id="16" w:name="Xb471d09b9f4f2c6d5991f73749066c944998f27"/>
    <w:p>
      <w:pPr>
        <w:pStyle w:val="Heading3"/>
      </w:pPr>
      <w:r>
        <w:t xml:space="preserve">Staffing cost as a share of the operating budget</w:t>
      </w:r>
    </w:p>
    <w:p>
      <w:pPr>
        <w:pStyle w:val="FirstParagraph"/>
      </w:pPr>
      <w:r>
        <w:t xml:space="preserve">The City's own internal budget book (not the audited statement above — its own line-item workbook, by object code, across all 94 tax-supported services) breaks operating spending into object codes including "010 Personnel Costs." Summing every service's Personnel Costs line against total operating expenditure gives a real, computable staffing share:</w:t>
      </w:r>
    </w:p>
    <w:p>
      <w:pPr>
        <w:pStyle w:val="BodyText"/>
      </w:pPr>
      <w:r>
        <w:t xml:space="preserve">Personnel costs, 2024 35.2 % $472.1M of $1,341.9M tax-supported operating spend</w:t>
      </w:r>
    </w:p>
    <w:p>
      <w:pPr>
        <w:pStyle w:val="BodyText"/>
      </w:pPr>
      <w:r>
        <w:t xml:space="preserve">Personnel costs, 2027 (budgeted) 36.8 % $553.0M of $1,504.0M</w:t>
      </w:r>
    </w:p>
    <w:p>
      <w:pPr>
        <w:pStyle w:val="BodyText"/>
      </w:pPr>
      <w:r>
        <w:rPr>
          <w:b/>
          <w:bCs/>
        </w:rPr>
        <w:t xml:space="preserve">SOURCE LOCK:</w:t>
      </w:r>
      <w:r>
        <w:t xml:space="preserve"> </w:t>
      </w:r>
      <w:r>
        <w:t xml:space="preserve">SOURCE LOCK City of London, 2024–2027 Multi-Year Approved Budget — Operating Budget 2024 to 2027 by Service (Tax Supported) , all 94 service line items, object code "010 Personnel Costs" vs. total expenditure across object codes 010–090.</w:t>
      </w:r>
    </w:p>
    <w:p>
      <w:pPr>
        <w:pStyle w:val="BodyText"/>
      </w:pPr>
      <w:r>
        <w:rPr>
          <w:b/>
          <w:bCs/>
        </w:rPr>
        <w:t xml:space="preserve">Scope note:</w:t>
      </w:r>
      <w:r>
        <w:t xml:space="preserve"> </w:t>
      </w:r>
      <w:r>
        <w:t xml:space="preserve">Scope note This total ($1.34B, 2024) is the Property-Tax-Supported Operating Budget specifically — narrower than the $1.50B "Total expenses" in §11's audited consolidated statement, which also includes Water, Wastewater and the fully consolidated boards. The two aren't contradictory, just different scopes; use this table only for the tax-supported personnel-share question, not as a restatement of the audited total.</w:t>
      </w:r>
    </w:p>
    <w:bookmarkEnd w:id="16"/>
    <w:bookmarkStart w:id="17" w:name="Xfb0f26bb199f83c82a56852d171b21ab533b943"/>
    <w:p>
      <w:pPr>
        <w:pStyle w:val="Heading3"/>
      </w:pPr>
      <w:r>
        <w:t xml:space="preserve">Cost per resident — the missing denominator, now sourced</w:t>
      </w:r>
    </w:p>
    <w:p>
      <w:pPr>
        <w:pStyle w:val="FirstParagraph"/>
      </w:pPr>
      <w:r>
        <w:t xml:space="preserve">The City's own 2024 Drinking Water Summary Report states a population served of</w:t>
      </w:r>
      <w:r>
        <w:t xml:space="preserve"> </w:t>
      </w:r>
      <w:r>
        <w:rPr>
          <w:b/>
          <w:bCs/>
        </w:rPr>
        <w:t xml:space="preserve">approximately 431,000</w:t>
      </w:r>
      <w:r>
        <w:t xml:space="preserve"> </w:t>
      </w:r>
      <w:r>
        <w:t xml:space="preserve">— the population figure this section previously lacked.</w:t>
      </w:r>
    </w:p>
    <w:p>
      <w:pPr>
        <w:pStyle w:val="BodyText"/>
      </w:pPr>
      <w:r>
        <w:t xml:space="preserve">Tax-supported operating spend per resident, 2024 $3,113 $1,341.9M ÷ ~431,000</w:t>
      </w:r>
    </w:p>
    <w:p>
      <w:pPr>
        <w:pStyle w:val="BodyText"/>
      </w:pPr>
      <w:r>
        <w:t xml:space="preserve">Net municipal taxation per resident, 2024 $1,939 $835.7M audited (§11) ÷ ~431,000</w:t>
      </w:r>
    </w:p>
    <w:p>
      <w:pPr>
        <w:pStyle w:val="BodyText"/>
      </w:pPr>
      <w:r>
        <w:rPr>
          <w:b/>
          <w:bCs/>
        </w:rPr>
        <w:t xml:space="preserve">SOURCE LOCK:</w:t>
      </w:r>
      <w:r>
        <w:t xml:space="preserve"> </w:t>
      </w:r>
      <w:r>
        <w:t xml:space="preserve">SOURCE LOCK City of London, 2024 Drinking Water Summary Report , p.1 ("Population Served: 431,000 (approx.)"), retrieved 2026-08-20.</w:t>
      </w:r>
    </w:p>
    <w:p>
      <w:pPr>
        <w:pStyle w:val="BodyText"/>
      </w:pPr>
      <w:r>
        <w:rPr>
          <w:b/>
          <w:bCs/>
        </w:rPr>
        <w:t xml:space="preserve">Caveat:</w:t>
      </w:r>
      <w:r>
        <w:t xml:space="preserve"> </w:t>
      </w:r>
      <w:r>
        <w:t xml:space="preserve">Caveat 431,000 is the water system's service population (2024), not necessarily identical to the municipal census population in a given year — the best available sourced figure, not a Statistics Canada citation.</w:t>
      </w:r>
    </w:p>
    <w:bookmarkEnd w:id="17"/>
    <w:bookmarkEnd w:id="18"/>
    <w:bookmarkStart w:id="19" w:name="infrastructure-renewal-gap"/>
    <w:p>
      <w:pPr>
        <w:pStyle w:val="Heading2"/>
      </w:pPr>
      <w:r>
        <w:t xml:space="preserve">Infrastructure renewal gap</w:t>
      </w:r>
    </w:p>
    <w:p>
      <w:pPr>
        <w:pStyle w:val="FirstParagraph"/>
      </w:pPr>
      <w:r>
        <w:t xml:space="preserve">Reinstated — full reproduction from the 2023 Corporate Asset Management Plan</w:t>
      </w:r>
    </w:p>
    <w:p>
      <w:pPr>
        <w:pStyle w:val="BodyText"/>
      </w:pPr>
      <w:r>
        <w:t xml:space="preserve">Edition 2.0 excluded the $946.1M "10-year maintain-current gap" headline because it could not reproduce the figure's exact time-path from a locally archived copy. The full 534-page 2023 Corporate Asset Management Plan is now on hand, and the figure — along with its two prior CAM Plan cycles — is directly reproducible.</w:t>
      </w:r>
    </w:p>
    <w:p>
      <w:pPr>
        <w:pStyle w:val="BodyText"/>
      </w:pPr>
      <w:r>
        <w:t xml:space="preserve">2023 replacement value of City-owned infrastructure $28.5 billion</w:t>
      </w:r>
    </w:p>
    <w:p>
      <w:pPr>
        <w:pStyle w:val="BodyText"/>
      </w:pPr>
      <w:r>
        <w:t xml:space="preserve">10-year gap, Maintain Current level of service $946.1 million 3.32% of replacement value</w:t>
      </w:r>
    </w:p>
    <w:p>
      <w:pPr>
        <w:pStyle w:val="BodyText"/>
      </w:pPr>
      <w:r>
        <w:t xml:space="preserve">10-year gap, Achieve Proposed level of service $1,378.1 million 4.84% of replacement value</w:t>
      </w:r>
    </w:p>
    <w:p>
      <w:pPr>
        <w:pStyle w:val="BodyText"/>
      </w:pPr>
      <w:r>
        <w:t xml:space="preserve">Maintain-current infrastructure gap, by CAM Plan cycle</w:t>
      </w:r>
    </w:p>
    <w:p>
      <w:pPr>
        <w:pStyle w:val="BodyText"/>
      </w:pPr>
      <w:r>
        <w:t xml:space="preserve">$ millions, 10-year cumulative gap as reported in each plan</w:t>
      </w:r>
    </w:p>
    <w:p>
      <w:pPr>
        <w:pStyle w:val="BodyText"/>
      </w:pPr>
      <w:r>
        <w:t xml:space="preserve">[Chart omitted in Word export — see the published web version for the interactive chart.]</w:t>
      </w:r>
    </w:p>
    <w:p>
      <w:pPr>
        <w:pStyle w:val="BodyText"/>
      </w:pPr>
      <w:r>
        <w:rPr>
          <w:b/>
          <w:bCs/>
        </w:rPr>
        <w:t xml:space="preserve">SOURCE LOCK:</w:t>
      </w:r>
      <w:r>
        <w:t xml:space="preserve"> </w:t>
      </w:r>
      <w:r>
        <w:t xml:space="preserve">SOURCE LOCK City of London, 2023 Corporate Asset Management Plan — Table 1.1 (p.21), Section 22 summary table (p.448), historical comparison table (p.452).</w:t>
      </w:r>
    </w:p>
    <w:p>
      <w:pPr>
        <w:pStyle w:val="BodyText"/>
      </w:pPr>
      <w:r>
        <w:rPr>
          <w:b/>
          <w:bCs/>
        </w:rPr>
        <w:t xml:space="preserve">Correct interpretation:</w:t>
      </w:r>
      <w:r>
        <w:t xml:space="preserve"> </w:t>
      </w:r>
      <w:r>
        <w:t xml:space="preserve">Correct interpretation "Maintain Current" is the cost to hold existing infrastructure at its present condition — it is not new investment, and a growing gap is not proof of current service failure or misspending. It is a measure of deferred-renewal need that the City's own plan says "has the potential to escalate beyond the City's ability to manage effectively" if unaddressed.</w:t>
      </w:r>
    </w:p>
    <w:bookmarkEnd w:id="19"/>
    <w:bookmarkStart w:id="21" w:name="housing-output-in-2025"/>
    <w:p>
      <w:pPr>
        <w:pStyle w:val="Heading2"/>
      </w:pPr>
      <w:r>
        <w:t xml:space="preserve">Housing output in 2025</w:t>
      </w:r>
    </w:p>
    <w:p>
      <w:pPr>
        <w:pStyle w:val="FirstParagraph"/>
      </w:pPr>
      <w:r>
        <w:t xml:space="preserve">Extended with a real multi-year series and a Roadmap-to-3,000 progress check</w:t>
      </w:r>
    </w:p>
    <w:p>
      <w:pPr>
        <w:pStyle w:val="BodyText"/>
      </w:pPr>
      <w:r>
        <w:t xml:space="preserve">The 2025 Annual Development Report states that 5,462 new housing units were approved through building permits in 2025, a 47.62% increase over 2024, with high-density housing the primary driver (3,980 units) and 487 additional residential units.</w:t>
      </w:r>
    </w:p>
    <w:p>
      <w:pPr>
        <w:pStyle w:val="BodyText"/>
      </w:pPr>
      <w:r>
        <w:rPr>
          <w:b/>
          <w:bCs/>
        </w:rPr>
        <w:t xml:space="preserve">SOURCE LOCK:</w:t>
      </w:r>
      <w:r>
        <w:t xml:space="preserve"> </w:t>
      </w:r>
      <w:r>
        <w:t xml:space="preserve">SOURCE LOCK City of London, 2025 Annual Development Report — 2025 permit-output tables and narrative.</w:t>
      </w:r>
    </w:p>
    <w:p>
      <w:pPr>
        <w:pStyle w:val="BodyText"/>
      </w:pPr>
      <w:r>
        <w:rPr>
          <w:b/>
          <w:bCs/>
        </w:rPr>
        <w:t xml:space="preserve">Read this correctly:</w:t>
      </w:r>
      <w:r>
        <w:t xml:space="preserve"> </w:t>
      </w:r>
      <w:r>
        <w:t xml:space="preserve">Read this correctly A building permit is not a completed or occupied home. High-density and additional-residential-unit figures are reported subcategories, not necessarily additive to the top-line total.</w:t>
      </w:r>
    </w:p>
    <w:bookmarkStart w:id="20" w:name="X1d679a649b61e27f482110316a6574f55aada70"/>
    <w:p>
      <w:pPr>
        <w:pStyle w:val="Heading3"/>
      </w:pPr>
      <w:r>
        <w:t xml:space="preserve">One more year of real trend, and where "22,890" and "5,462" actually differ</w:t>
      </w:r>
    </w:p>
    <w:p>
      <w:pPr>
        <w:pStyle w:val="FirstParagraph"/>
      </w:pPr>
      <w:r>
        <w:t xml:space="preserve">A separate 2024 City newsroom release reports</w:t>
      </w:r>
      <w:r>
        <w:t xml:space="preserve"> </w:t>
      </w:r>
      <w:r>
        <w:rPr>
          <w:b/>
          <w:bCs/>
        </w:rPr>
        <w:t xml:space="preserve">3,700 building permits for new units issued in 2024</w:t>
      </w:r>
      <w:r>
        <w:t xml:space="preserve">, a 114% increase over 2023 — consistent with, and one year prior to, the 5,462-permit 2025 figure above (3,700 × 1.4762 ≈ 5,462, matching the 47.62% year-over-year growth already cited). The same release also reports</w:t>
      </w:r>
      <w:r>
        <w:t xml:space="preserve"> </w:t>
      </w:r>
      <w:r>
        <w:rPr>
          <w:b/>
          <w:bCs/>
        </w:rPr>
        <w:t xml:space="preserve">22,890 "new housing units approved"</w:t>
      </w:r>
      <w:r>
        <w:t xml:space="preserve"> </w:t>
      </w:r>
      <w:r>
        <w:t xml:space="preserve">for 2024 — a materially larger, earlier-pipeline-stage figure (planning/zoning-level approvals across major projects, not building permits) that should never be quoted alongside the 5,462/3,700 permit figures as if measuring the same thing.</w:t>
      </w:r>
    </w:p>
    <w:p>
      <w:pPr>
        <w:pStyle w:val="BodyText"/>
      </w:pPr>
      <w:r>
        <w:t xml:space="preserve">Total construction value, 2024 $2.2 B +82.2% vs. 2023's $1.21B; 2021 $1.63B, 2022 $1.59B</w:t>
      </w:r>
    </w:p>
    <w:p>
      <w:pPr>
        <w:pStyle w:val="BodyText"/>
      </w:pPr>
      <w:r>
        <w:t xml:space="preserve">Additional Residential Units (ARUs) approved, 2024 434 +67% vs. 2023</w:t>
      </w:r>
    </w:p>
    <w:p>
      <w:pPr>
        <w:pStyle w:val="BodyText"/>
      </w:pPr>
      <w:r>
        <w:t xml:space="preserve">"Roadmap to 3,000" affordable units, progress to date 2,139 of 3,000 ≈71.3% — real progress on the SH3000 project named in §3</w:t>
      </w:r>
    </w:p>
    <w:p>
      <w:pPr>
        <w:pStyle w:val="BodyText"/>
      </w:pPr>
      <w:r>
        <w:rPr>
          <w:b/>
          <w:bCs/>
        </w:rPr>
        <w:t xml:space="preserve">SOURCE LOCK:</w:t>
      </w:r>
      <w:r>
        <w:t xml:space="preserve"> </w:t>
      </w:r>
      <w:r>
        <w:t xml:space="preserve">SOURCE LOCK City of London newsroom, "Record Breaking Growth in 2024," london.ca, retrieved 2026-08-20.</w:t>
      </w:r>
    </w:p>
    <w:p>
      <w:pPr>
        <w:pStyle w:val="BodyText"/>
      </w:pPr>
      <w:r>
        <w:rPr>
          <w:b/>
          <w:bCs/>
        </w:rPr>
        <w:t xml:space="preserve">Gap, since closed:</w:t>
      </w:r>
      <w:r>
        <w:t xml:space="preserve"> </w:t>
      </w:r>
      <w:r>
        <w:t xml:space="preserve">Gap, since closed Job-creation and business-investment figures from the London Economic Development Corporation (LEDC) weren't in this release — but LEDC's own real activity data is now in §10's Economic Development subsection.</w:t>
      </w:r>
    </w:p>
    <w:bookmarkEnd w:id="20"/>
    <w:bookmarkEnd w:id="21"/>
    <w:bookmarkStart w:id="22" w:name="planning-act-timeline-performance"/>
    <w:p>
      <w:pPr>
        <w:pStyle w:val="Heading2"/>
      </w:pPr>
      <w:r>
        <w:t xml:space="preserve">Planning Act timeline performance</w:t>
      </w:r>
    </w:p>
    <w:p>
      <w:pPr>
        <w:pStyle w:val="FirstParagraph"/>
      </w:pPr>
      <w:r>
        <w:t xml:space="preserve">Carried forward from Edition 2.0, unchanged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Application type</w:t>
            </w:r>
          </w:p>
        </w:tc>
        <w:tc>
          <w:tcPr/>
          <w:p>
            <w:pPr>
              <w:pStyle w:val="Compact"/>
            </w:pPr>
            <w:r>
              <w:t xml:space="preserve">Within timeline</w:t>
            </w:r>
          </w:p>
        </w:tc>
        <w:tc>
          <w:tcPr/>
          <w:p>
            <w:pPr>
              <w:pStyle w:val="Compact"/>
            </w:pPr>
            <w:r>
              <w:t xml:space="preserve">Avg. days</w:t>
            </w:r>
          </w:p>
        </w:tc>
      </w:tr>
      <w:tr>
        <w:tc>
          <w:tcPr/>
          <w:p>
            <w:pPr>
              <w:pStyle w:val="Compact"/>
            </w:pPr>
            <w:r>
              <w:t xml:space="preserve">OPA + Zoning By-law Amendment</w:t>
            </w:r>
          </w:p>
        </w:tc>
        <w:tc>
          <w:tcPr/>
          <w:p>
            <w:pPr>
              <w:pStyle w:val="Compact"/>
            </w:pPr>
            <w:r>
              <w:t xml:space="preserve">94%</w:t>
            </w:r>
          </w:p>
        </w:tc>
        <w:tc>
          <w:tcPr/>
          <w:p>
            <w:pPr>
              <w:pStyle w:val="Compact"/>
            </w:pPr>
            <w:r>
              <w:t xml:space="preserve">89</w:t>
            </w:r>
          </w:p>
        </w:tc>
      </w:tr>
      <w:tr>
        <w:tc>
          <w:tcPr/>
          <w:p>
            <w:pPr>
              <w:pStyle w:val="Compact"/>
            </w:pPr>
            <w:r>
              <w:t xml:space="preserve">Zoning By-law Amendment</w:t>
            </w:r>
          </w:p>
        </w:tc>
        <w:tc>
          <w:tcPr/>
          <w:p>
            <w:pPr>
              <w:pStyle w:val="Compact"/>
            </w:pPr>
            <w:r>
              <w:t xml:space="preserve">95%</w:t>
            </w:r>
          </w:p>
        </w:tc>
        <w:tc>
          <w:tcPr/>
          <w:p>
            <w:pPr>
              <w:pStyle w:val="Compact"/>
            </w:pPr>
            <w:r>
              <w:t xml:space="preserve">76</w:t>
            </w:r>
          </w:p>
        </w:tc>
      </w:tr>
      <w:tr>
        <w:tc>
          <w:tcPr/>
          <w:p>
            <w:pPr>
              <w:pStyle w:val="Compact"/>
            </w:pPr>
            <w:r>
              <w:t xml:space="preserve">Minor Zoning By-law Amendment</w:t>
            </w:r>
          </w:p>
        </w:tc>
        <w:tc>
          <w:tcPr/>
          <w:p>
            <w:pPr>
              <w:pStyle w:val="Compact"/>
            </w:pPr>
            <w:r>
              <w:t xml:space="preserve">100%</w:t>
            </w:r>
          </w:p>
        </w:tc>
        <w:tc>
          <w:tcPr/>
          <w:p>
            <w:pPr>
              <w:pStyle w:val="Compact"/>
            </w:pPr>
            <w:r>
              <w:t xml:space="preserve">31</w:t>
            </w:r>
          </w:p>
        </w:tc>
      </w:tr>
      <w:tr>
        <w:tc>
          <w:tcPr/>
          <w:p>
            <w:pPr>
              <w:pStyle w:val="Compact"/>
            </w:pPr>
            <w:r>
              <w:t xml:space="preserve">Temporary Zoning</w:t>
            </w:r>
          </w:p>
        </w:tc>
        <w:tc>
          <w:tcPr/>
          <w:p>
            <w:pPr>
              <w:pStyle w:val="Compact"/>
            </w:pPr>
            <w:r>
              <w:t xml:space="preserve">100%</w:t>
            </w:r>
          </w:p>
        </w:tc>
        <w:tc>
          <w:tcPr/>
          <w:p>
            <w:pPr>
              <w:pStyle w:val="Compact"/>
            </w:pPr>
            <w:r>
              <w:t xml:space="preserve">77</w:t>
            </w:r>
          </w:p>
        </w:tc>
      </w:tr>
      <w:tr>
        <w:tc>
          <w:tcPr/>
          <w:p>
            <w:pPr>
              <w:pStyle w:val="Compact"/>
            </w:pPr>
            <w:r>
              <w:t xml:space="preserve">Removal of Holding Provision</w:t>
            </w:r>
          </w:p>
        </w:tc>
        <w:tc>
          <w:tcPr/>
          <w:p>
            <w:pPr>
              <w:pStyle w:val="Compact"/>
            </w:pPr>
            <w:r>
              <w:t xml:space="preserve">78%</w:t>
            </w:r>
          </w:p>
        </w:tc>
        <w:tc>
          <w:tcPr/>
          <w:p>
            <w:pPr>
              <w:pStyle w:val="Compact"/>
            </w:pPr>
            <w:r>
              <w:t xml:space="preserve">54</w:t>
            </w:r>
          </w:p>
        </w:tc>
      </w:tr>
      <w:tr>
        <w:tc>
          <w:tcPr/>
          <w:p>
            <w:pPr>
              <w:pStyle w:val="Compact"/>
            </w:pPr>
            <w:r>
              <w:t xml:space="preserve">Draft Plan of Subdivision</w:t>
            </w:r>
          </w:p>
        </w:tc>
        <w:tc>
          <w:tcPr/>
          <w:p>
            <w:pPr>
              <w:pStyle w:val="Compact"/>
            </w:pPr>
            <w:r>
              <w:t xml:space="preserve">33%</w:t>
            </w:r>
          </w:p>
        </w:tc>
        <w:tc>
          <w:tcPr/>
          <w:p>
            <w:pPr>
              <w:pStyle w:val="Compact"/>
            </w:pPr>
            <w:r>
              <w:t xml:space="preserve">145</w:t>
            </w:r>
          </w:p>
        </w:tc>
      </w:tr>
      <w:tr>
        <w:tc>
          <w:tcPr/>
          <w:p>
            <w:pPr>
              <w:pStyle w:val="Compact"/>
            </w:pPr>
            <w:r>
              <w:t xml:space="preserve">Condominium</w:t>
            </w:r>
          </w:p>
        </w:tc>
        <w:tc>
          <w:tcPr/>
          <w:p>
            <w:pPr>
              <w:pStyle w:val="Compact"/>
            </w:pPr>
            <w:r>
              <w:t xml:space="preserve">100%</w:t>
            </w:r>
          </w:p>
        </w:tc>
        <w:tc>
          <w:tcPr/>
          <w:p>
            <w:pPr>
              <w:pStyle w:val="Compact"/>
            </w:pPr>
            <w:r>
              <w:t xml:space="preserve">79</w:t>
            </w:r>
          </w:p>
        </w:tc>
      </w:tr>
      <w:tr>
        <w:tc>
          <w:tcPr/>
          <w:p>
            <w:pPr>
              <w:pStyle w:val="Compact"/>
            </w:pPr>
            <w:r>
              <w:t xml:space="preserve">Consent</w:t>
            </w:r>
          </w:p>
        </w:tc>
        <w:tc>
          <w:tcPr/>
          <w:p>
            <w:pPr>
              <w:pStyle w:val="Compact"/>
            </w:pPr>
            <w:r>
              <w:t xml:space="preserve">100%</w:t>
            </w:r>
          </w:p>
        </w:tc>
        <w:tc>
          <w:tcPr/>
          <w:p>
            <w:pPr>
              <w:pStyle w:val="Compact"/>
            </w:pPr>
            <w:r>
              <w:t xml:space="preserve">51</w:t>
            </w:r>
          </w:p>
        </w:tc>
      </w:tr>
      <w:tr>
        <w:tc>
          <w:tcPr/>
          <w:p>
            <w:pPr>
              <w:pStyle w:val="Compact"/>
            </w:pPr>
            <w:r>
              <w:t xml:space="preserve">Minor Variance</w:t>
            </w:r>
          </w:p>
        </w:tc>
        <w:tc>
          <w:tcPr/>
          <w:p>
            <w:pPr>
              <w:pStyle w:val="Compact"/>
            </w:pPr>
            <w:r>
              <w:t xml:space="preserve">99%</w:t>
            </w:r>
          </w:p>
        </w:tc>
        <w:tc>
          <w:tcPr/>
          <w:p>
            <w:pPr>
              <w:pStyle w:val="Compact"/>
            </w:pPr>
            <w:r>
              <w:t xml:space="preserve">23</w:t>
            </w:r>
          </w:p>
        </w:tc>
      </w:tr>
      <w:tr>
        <w:tc>
          <w:tcPr/>
          <w:p>
            <w:pPr>
              <w:pStyle w:val="Compact"/>
            </w:pPr>
            <w:r>
              <w:t xml:space="preserve">Site Plan</w:t>
            </w:r>
          </w:p>
        </w:tc>
        <w:tc>
          <w:tcPr/>
          <w:p>
            <w:pPr>
              <w:pStyle w:val="Compact"/>
            </w:pPr>
            <w:r>
              <w:t xml:space="preserve">100%</w:t>
            </w:r>
          </w:p>
        </w:tc>
        <w:tc>
          <w:tcPr/>
          <w:p>
            <w:pPr>
              <w:pStyle w:val="Compact"/>
            </w:pPr>
            <w:r>
              <w:t xml:space="preserve">24</w:t>
            </w:r>
          </w:p>
        </w:tc>
      </w:tr>
    </w:tbl>
    <w:p>
      <w:pPr>
        <w:pStyle w:val="BodyText"/>
      </w:pPr>
      <w:r>
        <w:rPr>
          <w:b/>
          <w:bCs/>
        </w:rPr>
        <w:t xml:space="preserve">SOURCE LOCK:</w:t>
      </w:r>
      <w:r>
        <w:t xml:space="preserve"> </w:t>
      </w:r>
      <w:r>
        <w:t xml:space="preserve">SOURCE LOCK City of London, 2025 Annual Development Report — Planning Act timeline performance table.</w:t>
      </w:r>
    </w:p>
    <w:p>
      <w:pPr>
        <w:pStyle w:val="BodyText"/>
      </w:pPr>
      <w:r>
        <w:rPr>
          <w:b/>
          <w:bCs/>
        </w:rPr>
        <w:t xml:space="preserve">Defensible takeaway:</w:t>
      </w:r>
      <w:r>
        <w:t xml:space="preserve"> </w:t>
      </w:r>
      <w:r>
        <w:t xml:space="preserve">Defensible takeaway Draft plans of subdivision and removals of holding provisions are the clearest exceptions in the published table — grounds for a targeted process question, not a conclusion about cause.</w:t>
      </w:r>
    </w:p>
    <w:bookmarkEnd w:id="22"/>
    <w:bookmarkStart w:id="26" w:name="housing-accelerator-fund"/>
    <w:p>
      <w:pPr>
        <w:pStyle w:val="Heading2"/>
      </w:pPr>
      <w:r>
        <w:t xml:space="preserve">Housing Accelerator Fund</w:t>
      </w:r>
    </w:p>
    <w:p>
      <w:pPr>
        <w:pStyle w:val="FirstParagraph"/>
      </w:pPr>
      <w:r>
        <w:t xml:space="preserve">Carried forward from Edition 2.0, unchanged</w:t>
      </w:r>
    </w:p>
    <w:p>
      <w:pPr>
        <w:pStyle w:val="BodyText"/>
      </w:pPr>
      <w:r>
        <w:t xml:space="preserve">Year-2 permits reported 4,284</w:t>
      </w:r>
    </w:p>
    <w:p>
      <w:pPr>
        <w:pStyle w:val="BodyText"/>
      </w:pPr>
      <w:r>
        <w:t xml:space="preserve">Year-2 target 3,991</w:t>
      </w:r>
    </w:p>
    <w:p>
      <w:pPr>
        <w:pStyle w:val="BodyText"/>
      </w:pPr>
      <w:r>
        <w:t xml:space="preserve">Above target +293 ≈7.3%</w:t>
      </w:r>
    </w:p>
    <w:p>
      <w:pPr>
        <w:pStyle w:val="BodyText"/>
      </w:pPr>
      <w:r>
        <w:rPr>
          <w:b/>
          <w:bCs/>
        </w:rPr>
        <w:t xml:space="preserve">SOURCE LOCK:</w:t>
      </w:r>
      <w:r>
        <w:t xml:space="preserve"> </w:t>
      </w:r>
      <w:r>
        <w:t xml:space="preserve">SOURCE LOCK City of London, Housing Accelerator Fund — 2025 Annual Update — Year-2 permits and selected incentive table.</w:t>
      </w:r>
    </w:p>
    <w:p>
      <w:pPr>
        <w:pStyle w:val="BodyText"/>
      </w:pPr>
      <w:r>
        <w:rPr>
          <w:b/>
          <w:bCs/>
        </w:rPr>
        <w:t xml:space="preserve">Status guardrail:</w:t>
      </w:r>
      <w:r>
        <w:t xml:space="preserve"> </w:t>
      </w:r>
      <w:r>
        <w:t xml:space="preserve">Status guardrail An incentive-table amount is a program figure the City printed. It is not a final paid subsidy, final cost, or completed-unit count unless the source explicitly says so.</w:t>
      </w:r>
    </w:p>
    <w:p>
      <w:pPr>
        <w:pStyle w:val="BodyText"/>
      </w:pPr>
      <w:r>
        <w:t xml:space="preserve">The program's full envelope, per the City's amended HAF application: a target of</w:t>
      </w:r>
      <w:r>
        <w:t xml:space="preserve"> </w:t>
      </w:r>
      <w:r>
        <w:rPr>
          <w:b/>
          <w:bCs/>
        </w:rPr>
        <w:t xml:space="preserve">2,371 additional units</w:t>
      </w:r>
      <w:r>
        <w:t xml:space="preserve"> </w:t>
      </w:r>
      <w:r>
        <w:t xml:space="preserve">between 2024–2026, with eligibility for up to</w:t>
      </w:r>
      <w:r>
        <w:t xml:space="preserve"> </w:t>
      </w:r>
      <w:r>
        <w:rPr>
          <w:b/>
          <w:bCs/>
        </w:rPr>
        <w:t xml:space="preserve">$81.5M</w:t>
      </w:r>
      <w:r>
        <w:t xml:space="preserve"> </w:t>
      </w:r>
      <w:r>
        <w:t xml:space="preserve">in federal funding. The Year-2 figures above are one slice of that three-year target, not the whole program.</w:t>
      </w:r>
    </w:p>
    <w:bookmarkStart w:id="23" w:name="X47e8cc075f41b777700955712dda990de4c49e4"/>
    <w:p>
      <w:pPr>
        <w:pStyle w:val="Heading3"/>
      </w:pPr>
      <w:r>
        <w:t xml:space="preserve">A housing transaction ladder — what exists, what doesn't yet</w:t>
      </w:r>
    </w:p>
    <w:p>
      <w:pPr>
        <w:pStyle w:val="FirstParagraph"/>
      </w:pPr>
      <w:r>
        <w:t xml:space="preserve">A separate</w:t>
      </w:r>
      <w:r>
        <w:t xml:space="preserve"> </w:t>
      </w:r>
      <w:r>
        <w:rPr>
          <w:b/>
          <w:bCs/>
        </w:rPr>
        <w:t xml:space="preserve">Transit Oriented Development (TOD) Per-Unit Forgivable Loan Program</w:t>
      </w:r>
      <w:r>
        <w:t xml:space="preserve"> </w:t>
      </w:r>
      <w:r>
        <w:t xml:space="preserve">($15,000/unit, Council-approved Nov 25, 2025) accepted applications Jan 5–Mar 27, 2026; scored results against a Council-approved evaluation matrix were</w:t>
      </w:r>
      <w:r>
        <w:t xml:space="preserve"> </w:t>
      </w:r>
      <w:r>
        <w:rPr>
          <w:b/>
          <w:bCs/>
        </w:rPr>
        <w:t xml:space="preserve">not found publicly as of this evidence lock</w:t>
      </w:r>
      <w:r>
        <w:t xml:space="preserve"> </w:t>
      </w:r>
      <w:r>
        <w:t xml:space="preserve">— a genuine "not yet disclosed" gap, not a located-but-unretrieved one. The City also operates three live</w:t>
      </w:r>
      <w:r>
        <w:t xml:space="preserve"> </w:t>
      </w:r>
      <w:r>
        <w:rPr>
          <w:b/>
          <w:bCs/>
        </w:rPr>
        <w:t xml:space="preserve">Power BI homelessness dashboards</w:t>
      </w:r>
      <w:r>
        <w:t xml:space="preserve"> </w:t>
      </w:r>
      <w:r>
        <w:t xml:space="preserve">(individuals in the shelter system, emergency shelter usage, and the Hubs/Highly Supportive Housing "Whole of Community System Response") built on HIFIS data, plus a published, named</w:t>
      </w:r>
      <w:r>
        <w:t xml:space="preserve"> </w:t>
      </w:r>
      <w:r>
        <w:rPr>
          <w:b/>
          <w:bCs/>
        </w:rPr>
        <w:t xml:space="preserve">Chronic Homelessness AI (CHAI)</w:t>
      </w:r>
      <w:r>
        <w:t xml:space="preserve"> </w:t>
      </w:r>
      <w:r>
        <w:t xml:space="preserve">model that forecasts six-month chronic-homelessness risk from shelter-stay data — real, disclosed City infrastructure, but the dashboards are interactive Power BI embeds this review's tools cannot extract current numbers from; a human would need to open them directly.</w:t>
      </w:r>
    </w:p>
    <w:p>
      <w:pPr>
        <w:pStyle w:val="BodyText"/>
      </w:pPr>
      <w:r>
        <w:rPr>
          <w:b/>
          <w:bCs/>
        </w:rPr>
        <w:t xml:space="preserve">SOURCE LOCK:</w:t>
      </w:r>
      <w:r>
        <w:t xml:space="preserve"> </w:t>
      </w:r>
      <w:r>
        <w:t xml:space="preserve">SOURCE LOCK City of London, TOD CIP Planning and Environment Committee report and Council by-law, Nov 2025–Apr 2026; london.ca "Homelessness Online Dashboards" page; published reporting on the CHAI model (Global News, Cities Today).</w:t>
      </w:r>
    </w:p>
    <w:bookmarkEnd w:id="23"/>
    <w:bookmarkStart w:id="24" w:name="X17ed35cd95d1d74b62f722f6f99ff561611a087"/>
    <w:p>
      <w:pPr>
        <w:pStyle w:val="Heading3"/>
      </w:pPr>
      <w:r>
        <w:t xml:space="preserve">A brand-new incentive program that was approved at committee, then abandoned — corrected this pass</w:t>
      </w:r>
    </w:p>
    <w:p>
      <w:pPr>
        <w:pStyle w:val="FirstParagraph"/>
      </w:pPr>
      <w:r>
        <w:rPr>
          <w:b/>
          <w:bCs/>
        </w:rPr>
        <w:t xml:space="preserve">This edition previously reported this program as if it were operating. It was not, and the record needed correcting, not extending.</w:t>
      </w:r>
      <w:r>
        <w:t xml:space="preserve"> </w:t>
      </w:r>
      <w:r>
        <w:t xml:space="preserve">A February 3, 2026 staff report responding to Mayoral Direction 2026-001 created a</w:t>
      </w:r>
      <w:r>
        <w:t xml:space="preserve"> </w:t>
      </w:r>
      <w:r>
        <w:rPr>
          <w:b/>
          <w:bCs/>
        </w:rPr>
        <w:t xml:space="preserve">New Home Ownership Incentive Program</w:t>
      </w:r>
      <w:r>
        <w:t xml:space="preserve"> </w:t>
      </w:r>
      <w:r>
        <w:t xml:space="preserve">under the Affordable Housing CIP — 40% of the development charge on a new home (up to CREA's December 2025 average London resale price of $630,646) funded directly to the purchaser as a forgivable loan, then amended by a Feb 9, 2026 staff memo to a 10-year term, restricted to first-time buyers who are current City residents and natural persons.</w:t>
      </w:r>
      <w:r>
        <w:t xml:space="preserve"> </w:t>
      </w:r>
      <w:r>
        <w:rPr>
          <w:b/>
          <w:bCs/>
        </w:rPr>
        <w:t xml:space="preserve">Committee-approved design: $5,000,000 total, capped at up to 260 units</w:t>
      </w:r>
      <w:r>
        <w:t xml:space="preserve">, explicitly counted toward "Roadmap to 3,000" (§3, §6) — and funded, on paper, through a real, itemized capital-project reallocation: $5M drawn from the Housing Accelerator Fund's "Investments in housing-related infrastructure" category by redirecting</w:t>
      </w:r>
      <w:r>
        <w:t xml:space="preserve"> </w:t>
      </w:r>
      <w:r>
        <w:rPr>
          <w:b/>
          <w:bCs/>
        </w:rPr>
        <w:t xml:space="preserve">Killaly Road Infrastructure Improvement ($2,000,000)</w:t>
      </w:r>
      <w:r>
        <w:t xml:space="preserve"> </w:t>
      </w:r>
      <w:r>
        <w:t xml:space="preserve">and</w:t>
      </w:r>
      <w:r>
        <w:t xml:space="preserve"> </w:t>
      </w:r>
      <w:r>
        <w:rPr>
          <w:b/>
          <w:bCs/>
        </w:rPr>
        <w:t xml:space="preserve">Hyde Park Pump Station capacity upgrade ($3,350,000)</w:t>
      </w:r>
      <w:r>
        <w:t xml:space="preserve"> </w:t>
      </w:r>
      <w:r>
        <w:t xml:space="preserve">into the Building Faster Fund, offset by removing</w:t>
      </w:r>
      <w:r>
        <w:t xml:space="preserve"> </w:t>
      </w:r>
      <w:r>
        <w:rPr>
          <w:b/>
          <w:bCs/>
        </w:rPr>
        <w:t xml:space="preserve">Lambeth Phase 2 Watermain Servicing ($1,230,500)</w:t>
      </w:r>
      <w:r>
        <w:t xml:space="preserve"> </w:t>
      </w:r>
      <w:r>
        <w:t xml:space="preserve">and</w:t>
      </w:r>
      <w:r>
        <w:t xml:space="preserve"> </w:t>
      </w:r>
      <w:r>
        <w:rPr>
          <w:b/>
          <w:bCs/>
        </w:rPr>
        <w:t xml:space="preserve">Longwoods Watermain Servicing ($4,137,433)</w:t>
      </w:r>
      <w:r>
        <w:t xml:space="preserve"> </w:t>
      </w:r>
      <w:r>
        <w:t xml:space="preserve">from that fund's investment plan.</w:t>
      </w:r>
    </w:p>
    <w:p>
      <w:pPr>
        <w:pStyle w:val="BodyText"/>
      </w:pPr>
      <w:r>
        <w:t xml:space="preserve">What actually happened next, found this pass from two independent news sources: the plan was sent back to staff</w:t>
      </w:r>
      <w:r>
        <w:t xml:space="preserve"> </w:t>
      </w:r>
      <w:r>
        <w:rPr>
          <w:b/>
          <w:bCs/>
        </w:rPr>
        <w:t xml:space="preserve">"for a second time"</w:t>
      </w:r>
      <w:r>
        <w:t xml:space="preserve"> </w:t>
      </w:r>
      <w:r>
        <w:t xml:space="preserve">in the week of March 23, 2026 after failing to secure Council support — Mayor Josh Morgan himself said "it's not that I don't still believe in that program, it's that we're out of time," and Coun. Sam Trosow said on the record, "I just think the proposal is dead and we should move on." City staff were directed to return with new options at an April 21, 2026 SPPC meeting. On</w:t>
      </w:r>
      <w:r>
        <w:t xml:space="preserve"> </w:t>
      </w:r>
      <w:r>
        <w:rPr>
          <w:b/>
          <w:bCs/>
        </w:rPr>
        <w:t xml:space="preserve">April 29, 2026</w:t>
      </w:r>
      <w:r>
        <w:t xml:space="preserve">, Council approved a materially different design in its place: an expanded</w:t>
      </w:r>
      <w:r>
        <w:t xml:space="preserve"> </w:t>
      </w:r>
      <w:r>
        <w:rPr>
          <w:b/>
          <w:bCs/>
        </w:rPr>
        <w:t xml:space="preserve">Additional Residential Unit (ARU) Construction Grant Program</w:t>
      </w:r>
      <w:r>
        <w:t xml:space="preserve"> </w:t>
      </w:r>
      <w:r>
        <w:t xml:space="preserve">(up to $20,000 per new no-restriction ARU, up to $45,000 for affordable or Indigenous-led ARUs, minimum 10-year rental commitment) plus a</w:t>
      </w:r>
      <w:r>
        <w:t xml:space="preserve"> </w:t>
      </w:r>
      <w:r>
        <w:rPr>
          <w:b/>
          <w:bCs/>
        </w:rPr>
        <w:t xml:space="preserve">Temporary Building Permit Fee Waiver Program</w:t>
      </w:r>
      <w:r>
        <w:t xml:space="preserve"> </w:t>
      </w:r>
      <w:r>
        <w:t xml:space="preserve">(up to $2.5M, for permits issued April 29 – September 7, 2026) — both funded from the same remaining HAF pool, targeting the City's three-year 11,803-unit HAF commitment. Whether any of the specific Killaly Road/Hyde Park Pump Station/Lambeth/Longwoods dollar movements described above were ever executed, reversed, or folded into this pivot was not confirmed either way this pass — a real, narrow records-request target.</w:t>
      </w:r>
    </w:p>
    <w:p>
      <w:pPr>
        <w:pStyle w:val="BodyText"/>
      </w:pPr>
      <w:r>
        <w:rPr>
          <w:b/>
          <w:bCs/>
        </w:rPr>
        <w:t xml:space="preserve">SOURCE LOCK:</w:t>
      </w:r>
      <w:r>
        <w:t xml:space="preserve"> </w:t>
      </w:r>
      <w:r>
        <w:t xml:space="preserve">SOURCE LOCK City of London, Report to Strategic Priorities and Policy Committee, "Mayoral Direction 2026-001," Feb 3, 2026, and follow-up memo, Feb 9, 2026 (pub-london.escribemeetings.com, DocumentId=121477, 121775). CBC News, "London mayor confident reworking homeowner incentive program will bring positive outcome," Mar 26, 2026. CTV News London, "Mayor abandons homebuyer incentive announced in State of the City Address," Mar 25, 2026. City of London newsroom, "City approves expanded incentives to boost housing supply before federal deadline," Apr 29, 2026.</w:t>
      </w:r>
    </w:p>
    <w:p>
      <w:pPr>
        <w:pStyle w:val="BodyText"/>
      </w:pPr>
      <w:r>
        <w:rPr>
          <w:b/>
          <w:bCs/>
        </w:rPr>
        <w:t xml:space="preserve">Why this matters:</w:t>
      </w:r>
      <w:r>
        <w:t xml:space="preserve"> </w:t>
      </w:r>
      <w:r>
        <w:t xml:space="preserve">Why this matters A committee-approved design with a real, itemized reallocation chain is not the same thing as an operating program — this edition initially conflated the two, describing a plan that later failed to reach implementation as if the money had already moved. That's exactly the distinction §15's case files exist to enforce for capital projects; it applies here too. The genuinely real part of the original finding survives: City staff did disclose an authority → funding-source → reallocation chain with real project names and dollar amounts, at the committee-approval stage — a rare level of transparency regardless of what happened to the underlying program afterward.</w:t>
      </w:r>
    </w:p>
    <w:p>
      <w:pPr>
        <w:pStyle w:val="BodyText"/>
      </w:pPr>
      <w:r>
        <w:rPr>
          <w:b/>
          <w:bCs/>
        </w:rPr>
        <w:t xml:space="preserve">A third naming trap — three real, unrelated "home ownership" programs:</w:t>
      </w:r>
      <w:r>
        <w:t xml:space="preserve"> </w:t>
      </w:r>
      <w:r>
        <w:t xml:space="preserve">A third naming trap — three real, unrelated "home ownership" programs None of the following should ever be conflated: (1) the New Home Ownership Incentive Program above (Mayoral Direction 2026-001, DC-rebate forgivable loan, approved at committee then abandoned by April 2026); (2) the pre-existing, currently operating Homeownership Down Payment Assistance Program — a federal/provincial/City Ontario Priorities Housing Initiative partnership offering renters an interest-free forgivable loan up to 5% of purchase price (max $25,000) over 20 years, capped at a $500,000 home price and a $113,700 household income limit, unrelated to any Mayoral Direction; and (3) the Office-to-Residential CIP Incentive below (downtown office conversions, $35,000/unit). Confirmed directly against each program's own City of London page that they are administratively and financially distinct.</w:t>
      </w:r>
    </w:p>
    <w:bookmarkEnd w:id="24"/>
    <w:bookmarkStart w:id="25" w:name="Xefde6e3d549d3f12217778d6d829221f7634fd8"/>
    <w:p>
      <w:pPr>
        <w:pStyle w:val="Heading3"/>
      </w:pPr>
      <w:r>
        <w:t xml:space="preserve">The largest active HAF-adjacent incentive: Office-to-Residential</w:t>
      </w:r>
    </w:p>
    <w:p>
      <w:pPr>
        <w:pStyle w:val="FirstParagraph"/>
      </w:pPr>
      <w:r>
        <w:t xml:space="preserve">Council approved the Office-to-Residential CIP Incentive in February 2024: a</w:t>
      </w:r>
      <w:r>
        <w:t xml:space="preserve"> </w:t>
      </w:r>
      <w:r>
        <w:rPr>
          <w:b/>
          <w:bCs/>
        </w:rPr>
        <w:t xml:space="preserve">$35,000-per-unit</w:t>
      </w:r>
      <w:r>
        <w:t xml:space="preserve"> </w:t>
      </w:r>
      <w:r>
        <w:t xml:space="preserve">forgivable-loan grant for converting downtown office space to residential, targeting 285 additional units toward the Province's 47,000-home pledge for London by 2031.</w:t>
      </w:r>
    </w:p>
    <w:p>
      <w:pPr>
        <w:pStyle w:val="BodyText"/>
      </w:pPr>
      <w:r>
        <w:rPr>
          <w:b/>
          <w:bCs/>
        </w:rPr>
        <w:t xml:space="preserve">SOURCE LOCK:</w:t>
      </w:r>
      <w:r>
        <w:t xml:space="preserve"> </w:t>
      </w:r>
      <w:r>
        <w:t xml:space="preserve">SOURCE LOCK City of London newsroom — "Second Office-to-Residential Conversion Project Receives CIP Incentive Program Funding."</w:t>
      </w:r>
    </w:p>
    <w:p>
      <w:pPr>
        <w:pStyle w:val="BodyText"/>
      </w:pPr>
      <w:r>
        <w:rPr>
          <w:b/>
          <w:bCs/>
        </w:rPr>
        <w:t xml:space="preserve">Gap:</w:t>
      </w:r>
      <w:r>
        <w:t xml:space="preserve"> </w:t>
      </w:r>
      <w:r>
        <w:t xml:space="preserve">Gap No address-level list of individual HAF, ARU-grant, or Office-to-Residential incentive approvals was located for this edition — that would require a targeted search of Planning and Environment Committee agendas for individual forgivable-loan approvals, one property at a time.</w:t>
      </w:r>
    </w:p>
    <w:bookmarkEnd w:id="25"/>
    <w:bookmarkEnd w:id="26"/>
    <w:bookmarkStart w:id="35" w:name="X0d39bccbe6b9e469de4ff270ff2317449ad4eae"/>
    <w:p>
      <w:pPr>
        <w:pStyle w:val="Heading2"/>
      </w:pPr>
      <w:r>
        <w:t xml:space="preserve">Procurement — disclosure rate and vendor concentration</w:t>
      </w:r>
    </w:p>
    <w:p>
      <w:pPr>
        <w:pStyle w:val="FirstParagraph"/>
      </w:pPr>
      <w:r>
        <w:t xml:space="preserve">Reinstated — computed directly from 1,978 scraped award records</w:t>
      </w:r>
    </w:p>
    <w:p>
      <w:pPr>
        <w:pStyle w:val="BodyText"/>
      </w:pPr>
      <w:r>
        <w:t xml:space="preserve">Edition 2.0 removed all procurement numbers because the award-map workbook that produced them was unavailable to replay. A structured extraction pipeline against the City's own</w:t>
      </w:r>
      <w:r>
        <w:t xml:space="preserve"> </w:t>
      </w:r>
      <w:r>
        <w:rPr>
          <w:b/>
          <w:bCs/>
        </w:rPr>
        <w:t xml:space="preserve">Bids and Tenders</w:t>
      </w:r>
      <w:r>
        <w:t xml:space="preserve"> </w:t>
      </w:r>
      <w:r>
        <w:t xml:space="preserve">portal — the same portal cited in Edition 2.0's source register — is now available, with every record traceable to a bid number and a raw scraped text chunk. The figures below are computed directly from that extraction, not from an intermediate workbook.</w:t>
      </w:r>
    </w:p>
    <w:p>
      <w:pPr>
        <w:pStyle w:val="BodyText"/>
      </w:pPr>
      <w:r>
        <w:t xml:space="preserve">Award records with no disclosed dollar value 70.5 % 1,394 of 1,978 scraped records, 2017–2026</w:t>
      </w:r>
    </w:p>
    <w:p>
      <w:pPr>
        <w:pStyle w:val="BodyText"/>
      </w:pPr>
      <w:r>
        <w:t xml:space="preserve">Top-10 vendor share of known-value awards 71.6 % $732.1M of $1,022.3M in known-value awards</w:t>
      </w:r>
    </w:p>
    <w:p>
      <w:pPr>
        <w:pStyle w:val="BodyText"/>
      </w:pPr>
      <w:r>
        <w:t xml:space="preserve">Known-value awards that are Infrastructure/Construction 94.3 % $964.1M of $1,022.3M known-value total</w:t>
      </w:r>
    </w:p>
    <w:p>
      <w:pPr>
        <w:pStyle w:val="BodyText"/>
      </w:pPr>
      <w:r>
        <w:t xml:space="preserve">Known-value contract awards by year</w:t>
      </w:r>
    </w:p>
    <w:p>
      <w:pPr>
        <w:pStyle w:val="BodyText"/>
      </w:pPr>
      <w:r>
        <w:t xml:space="preserve">$ millions, awards with a disclosed dollar amount, 2017–2025</w:t>
      </w:r>
    </w:p>
    <w:p>
      <w:pPr>
        <w:pStyle w:val="BodyText"/>
      </w:pPr>
      <w:r>
        <w:t xml:space="preserve">[Chart omitted in Word export — see the published web version for the interactive chart.]</w:t>
      </w:r>
    </w:p>
    <w:p>
      <w:pPr>
        <w:pStyle w:val="BodyText"/>
      </w:pPr>
      <w:r>
        <w:t xml:space="preserve">Top 10 vendors by known-value award total</w:t>
      </w:r>
    </w:p>
    <w:p>
      <w:pPr>
        <w:pStyle w:val="BodyText"/>
      </w:pPr>
      <w:r>
        <w:t xml:space="preserve">$ millions, all posted award years combined</w:t>
      </w:r>
    </w:p>
    <w:p>
      <w:pPr>
        <w:pStyle w:val="BodyText"/>
      </w:pPr>
      <w:r>
        <w:t xml:space="preserve">[Chart omitted in Word export — see the published web version for the interactive chart.]</w:t>
      </w:r>
    </w:p>
    <w:bookmarkStart w:id="27" w:name="by-procurement-category"/>
    <w:p>
      <w:pPr>
        <w:pStyle w:val="Heading3"/>
      </w:pPr>
      <w:r>
        <w:t xml:space="preserve">By procurement category</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Category</w:t>
            </w:r>
          </w:p>
        </w:tc>
        <w:tc>
          <w:tcPr/>
          <w:p>
            <w:pPr>
              <w:pStyle w:val="Compact"/>
            </w:pPr>
            <w:r>
              <w:t xml:space="preserve">Records</w:t>
            </w:r>
          </w:p>
        </w:tc>
        <w:tc>
          <w:tcPr/>
          <w:p>
            <w:pPr>
              <w:pStyle w:val="Compact"/>
            </w:pPr>
            <w:r>
              <w:t xml:space="preserve">Known value</w:t>
            </w:r>
          </w:p>
        </w:tc>
        <w:tc>
          <w:tcPr/>
          <w:p>
            <w:pPr>
              <w:pStyle w:val="Compact"/>
            </w:pPr>
            <w:r>
              <w:t xml:space="preserve">Unknown value</w:t>
            </w:r>
          </w:p>
        </w:tc>
        <w:tc>
          <w:tcPr/>
          <w:p>
            <w:pPr>
              <w:pStyle w:val="Compact"/>
            </w:pPr>
            <w:r>
              <w:t xml:space="preserve">Known $ total</w:t>
            </w:r>
          </w:p>
        </w:tc>
      </w:tr>
      <w:tr>
        <w:tc>
          <w:tcPr/>
          <w:p>
            <w:pPr>
              <w:pStyle w:val="Compact"/>
            </w:pPr>
            <w:r>
              <w:t xml:space="preserve">Infrastructure / Construction</w:t>
            </w:r>
          </w:p>
        </w:tc>
        <w:tc>
          <w:tcPr/>
          <w:p>
            <w:pPr>
              <w:pStyle w:val="Compact"/>
            </w:pPr>
            <w:r>
              <w:t xml:space="preserve">755</w:t>
            </w:r>
          </w:p>
        </w:tc>
        <w:tc>
          <w:tcPr/>
          <w:p>
            <w:pPr>
              <w:pStyle w:val="Compact"/>
            </w:pPr>
            <w:r>
              <w:t xml:space="preserve">385</w:t>
            </w:r>
          </w:p>
        </w:tc>
        <w:tc>
          <w:tcPr/>
          <w:p>
            <w:pPr>
              <w:pStyle w:val="Compact"/>
            </w:pPr>
            <w:r>
              <w:t xml:space="preserve">370</w:t>
            </w:r>
          </w:p>
        </w:tc>
        <w:tc>
          <w:tcPr/>
          <w:p>
            <w:pPr>
              <w:pStyle w:val="Compact"/>
            </w:pPr>
            <w:r>
              <w:t xml:space="preserve">$964.1M</w:t>
            </w:r>
          </w:p>
        </w:tc>
      </w:tr>
      <w:tr>
        <w:tc>
          <w:tcPr/>
          <w:p>
            <w:pPr>
              <w:pStyle w:val="Compact"/>
            </w:pPr>
            <w:r>
              <w:t xml:space="preserve">Goods / Equipment / Technology</w:t>
            </w:r>
          </w:p>
        </w:tc>
        <w:tc>
          <w:tcPr/>
          <w:p>
            <w:pPr>
              <w:pStyle w:val="Compact"/>
            </w:pPr>
            <w:r>
              <w:t xml:space="preserve">241</w:t>
            </w:r>
          </w:p>
        </w:tc>
        <w:tc>
          <w:tcPr/>
          <w:p>
            <w:pPr>
              <w:pStyle w:val="Compact"/>
            </w:pPr>
            <w:r>
              <w:t xml:space="preserve">78</w:t>
            </w:r>
          </w:p>
        </w:tc>
        <w:tc>
          <w:tcPr/>
          <w:p>
            <w:pPr>
              <w:pStyle w:val="Compact"/>
            </w:pPr>
            <w:r>
              <w:t xml:space="preserve">163</w:t>
            </w:r>
          </w:p>
        </w:tc>
        <w:tc>
          <w:tcPr/>
          <w:p>
            <w:pPr>
              <w:pStyle w:val="Compact"/>
            </w:pPr>
            <w:r>
              <w:t xml:space="preserve">$27.8M</w:t>
            </w:r>
          </w:p>
        </w:tc>
      </w:tr>
      <w:tr>
        <w:tc>
          <w:tcPr/>
          <w:p>
            <w:pPr>
              <w:pStyle w:val="Compact"/>
            </w:pPr>
            <w:r>
              <w:t xml:space="preserve">Operations / Services</w:t>
            </w:r>
          </w:p>
        </w:tc>
        <w:tc>
          <w:tcPr/>
          <w:p>
            <w:pPr>
              <w:pStyle w:val="Compact"/>
            </w:pPr>
            <w:r>
              <w:t xml:space="preserve">112</w:t>
            </w:r>
          </w:p>
        </w:tc>
        <w:tc>
          <w:tcPr/>
          <w:p>
            <w:pPr>
              <w:pStyle w:val="Compact"/>
            </w:pPr>
            <w:r>
              <w:t xml:space="preserve">50</w:t>
            </w:r>
          </w:p>
        </w:tc>
        <w:tc>
          <w:tcPr/>
          <w:p>
            <w:pPr>
              <w:pStyle w:val="Compact"/>
            </w:pPr>
            <w:r>
              <w:t xml:space="preserve">62</w:t>
            </w:r>
          </w:p>
        </w:tc>
        <w:tc>
          <w:tcPr/>
          <w:p>
            <w:pPr>
              <w:pStyle w:val="Compact"/>
            </w:pPr>
            <w:r>
              <w:t xml:space="preserve">$8.5M</w:t>
            </w:r>
          </w:p>
        </w:tc>
      </w:tr>
      <w:tr>
        <w:tc>
          <w:tcPr/>
          <w:p>
            <w:pPr>
              <w:pStyle w:val="Compact"/>
            </w:pPr>
            <w:r>
              <w:t xml:space="preserve">Other / Unclassified</w:t>
            </w:r>
          </w:p>
        </w:tc>
        <w:tc>
          <w:tcPr/>
          <w:p>
            <w:pPr>
              <w:pStyle w:val="Compact"/>
            </w:pPr>
            <w:r>
              <w:t xml:space="preserve">74</w:t>
            </w:r>
          </w:p>
        </w:tc>
        <w:tc>
          <w:tcPr/>
          <w:p>
            <w:pPr>
              <w:pStyle w:val="Compact"/>
            </w:pPr>
            <w:r>
              <w:t xml:space="preserve">29</w:t>
            </w:r>
          </w:p>
        </w:tc>
        <w:tc>
          <w:tcPr/>
          <w:p>
            <w:pPr>
              <w:pStyle w:val="Compact"/>
            </w:pPr>
            <w:r>
              <w:t xml:space="preserve">45</w:t>
            </w:r>
          </w:p>
        </w:tc>
        <w:tc>
          <w:tcPr/>
          <w:p>
            <w:pPr>
              <w:pStyle w:val="Compact"/>
            </w:pPr>
            <w:r>
              <w:t xml:space="preserve">$8.5M</w:t>
            </w:r>
          </w:p>
        </w:tc>
      </w:tr>
      <w:tr>
        <w:tc>
          <w:tcPr/>
          <w:p>
            <w:pPr>
              <w:pStyle w:val="Compact"/>
            </w:pPr>
            <w:r>
              <w:t xml:space="preserve">Social / Community Services</w:t>
            </w:r>
          </w:p>
        </w:tc>
        <w:tc>
          <w:tcPr/>
          <w:p>
            <w:pPr>
              <w:pStyle w:val="Compact"/>
            </w:pPr>
            <w:r>
              <w:t xml:space="preserve">48</w:t>
            </w:r>
          </w:p>
        </w:tc>
        <w:tc>
          <w:tcPr/>
          <w:p>
            <w:pPr>
              <w:pStyle w:val="Compact"/>
            </w:pPr>
            <w:r>
              <w:t xml:space="preserve">7</w:t>
            </w:r>
          </w:p>
        </w:tc>
        <w:tc>
          <w:tcPr/>
          <w:p>
            <w:pPr>
              <w:pStyle w:val="Compact"/>
            </w:pPr>
            <w:r>
              <w:t xml:space="preserve">41</w:t>
            </w:r>
          </w:p>
        </w:tc>
        <w:tc>
          <w:tcPr/>
          <w:p>
            <w:pPr>
              <w:pStyle w:val="Compact"/>
            </w:pPr>
            <w:r>
              <w:t xml:space="preserve">$6.1M</w:t>
            </w:r>
          </w:p>
        </w:tc>
      </w:tr>
      <w:tr>
        <w:tc>
          <w:tcPr/>
          <w:p>
            <w:pPr>
              <w:pStyle w:val="Compact"/>
            </w:pPr>
            <w:r>
              <w:t xml:space="preserve">Consulting / Professional Services</w:t>
            </w:r>
          </w:p>
        </w:tc>
        <w:tc>
          <w:tcPr/>
          <w:p>
            <w:pPr>
              <w:pStyle w:val="Compact"/>
            </w:pPr>
            <w:r>
              <w:t xml:space="preserve">237</w:t>
            </w:r>
          </w:p>
        </w:tc>
        <w:tc>
          <w:tcPr/>
          <w:p>
            <w:pPr>
              <w:pStyle w:val="Compact"/>
            </w:pPr>
            <w:r>
              <w:t xml:space="preserve">25</w:t>
            </w:r>
          </w:p>
        </w:tc>
        <w:tc>
          <w:tcPr/>
          <w:p>
            <w:pPr>
              <w:pStyle w:val="Compact"/>
            </w:pPr>
            <w:r>
              <w:t xml:space="preserve">212</w:t>
            </w:r>
          </w:p>
        </w:tc>
        <w:tc>
          <w:tcPr/>
          <w:p>
            <w:pPr>
              <w:pStyle w:val="Compact"/>
            </w:pPr>
            <w:r>
              <w:t xml:space="preserve">$4.7M</w:t>
            </w:r>
          </w:p>
        </w:tc>
      </w:tr>
      <w:tr>
        <w:tc>
          <w:tcPr/>
          <w:p>
            <w:pPr>
              <w:pStyle w:val="Compact"/>
            </w:pPr>
            <w:r>
              <w:t xml:space="preserve">Sale / Lease / Revenue</w:t>
            </w:r>
          </w:p>
        </w:tc>
        <w:tc>
          <w:tcPr/>
          <w:p>
            <w:pPr>
              <w:pStyle w:val="Compact"/>
            </w:pPr>
            <w:r>
              <w:t xml:space="preserve">31</w:t>
            </w:r>
          </w:p>
        </w:tc>
        <w:tc>
          <w:tcPr/>
          <w:p>
            <w:pPr>
              <w:pStyle w:val="Compact"/>
            </w:pPr>
            <w:r>
              <w:t xml:space="preserve">9</w:t>
            </w:r>
          </w:p>
        </w:tc>
        <w:tc>
          <w:tcPr/>
          <w:p>
            <w:pPr>
              <w:pStyle w:val="Compact"/>
            </w:pPr>
            <w:r>
              <w:t xml:space="preserve">22</w:t>
            </w:r>
          </w:p>
        </w:tc>
        <w:tc>
          <w:tcPr/>
          <w:p>
            <w:pPr>
              <w:pStyle w:val="Compact"/>
            </w:pPr>
            <w:r>
              <w:t xml:space="preserve">$2.6M</w:t>
            </w:r>
          </w:p>
        </w:tc>
      </w:tr>
      <w:tr>
        <w:tc>
          <w:tcPr/>
          <w:p>
            <w:pPr>
              <w:pStyle w:val="Compact"/>
            </w:pPr>
            <w:r>
              <w:t xml:space="preserve">Prequalification / VOR / Roster</w:t>
            </w:r>
          </w:p>
        </w:tc>
        <w:tc>
          <w:tcPr/>
          <w:p>
            <w:pPr>
              <w:pStyle w:val="Compact"/>
            </w:pPr>
            <w:r>
              <w:t xml:space="preserve">480</w:t>
            </w:r>
          </w:p>
        </w:tc>
        <w:tc>
          <w:tcPr/>
          <w:p>
            <w:pPr>
              <w:pStyle w:val="Compact"/>
            </w:pPr>
            <w:r>
              <w:t xml:space="preserve">1</w:t>
            </w:r>
          </w:p>
        </w:tc>
        <w:tc>
          <w:tcPr/>
          <w:p>
            <w:pPr>
              <w:pStyle w:val="Compact"/>
            </w:pPr>
            <w:r>
              <w:t xml:space="preserve">479</w:t>
            </w:r>
          </w:p>
        </w:tc>
        <w:tc>
          <w:tcPr/>
          <w:p>
            <w:pPr>
              <w:pStyle w:val="Compact"/>
            </w:pPr>
            <w:r>
              <w:t xml:space="preserve">$0.06M</w:t>
            </w:r>
          </w:p>
        </w:tc>
      </w:tr>
    </w:tbl>
    <w:bookmarkEnd w:id="27"/>
    <w:bookmarkStart w:id="28" w:name="X07340f7691e2d8c6e7870cec4dfa1ebb3e2f149"/>
    <w:p>
      <w:pPr>
        <w:pStyle w:val="Heading3"/>
      </w:pPr>
      <w:r>
        <w:t xml:space="preserve">The City's own procurement policy — an explicit audit criterion, now version-dated</w:t>
      </w:r>
    </w:p>
    <w:p>
      <w:pPr>
        <w:pStyle w:val="FirstParagraph"/>
      </w:pPr>
      <w:r>
        <w:t xml:space="preserve">Rather than an invented standard, the City's</w:t>
      </w:r>
      <w:r>
        <w:t xml:space="preserve"> </w:t>
      </w:r>
      <w:r>
        <w:rPr>
          <w:i/>
          <w:iCs/>
        </w:rPr>
        <w:t xml:space="preserve">Procurement of Goods and Services Policy</w:t>
      </w:r>
      <w:r>
        <w:t xml:space="preserve"> </w:t>
      </w:r>
      <w:r>
        <w:t xml:space="preserve">sets its own compliance bar — but the policy has been amended</w:t>
      </w:r>
      <w:r>
        <w:t xml:space="preserve"> </w:t>
      </w:r>
      <w:r>
        <w:rPr>
          <w:b/>
          <w:bCs/>
        </w:rPr>
        <w:t xml:space="preserve">five times since 2019</w:t>
      </w:r>
      <w:r>
        <w:t xml:space="preserve"> </w:t>
      </w:r>
      <w:r>
        <w:t xml:space="preserve">(Feb 2022, May 2023 ×2, Sep 2024, Jun 2025; current consolidated text dated Oct 1, 2025), and testing a 2024 transaction against 2019 wording — or vice versa — would be a real methodological error. This edition retrieved and quotes both endpoints directly. Found in §19's internal-audit crosswalk: the June 2025 amendment traces directly to a real MNP Internal Audit — a Vendor Risk Management Audit whose 5 tracked recommendations (vendor due diligence, performance evaluation, standardized contracts, vendor management reporting, formalized VRM processes) were all closed by incorporating a new Vendor Performance Management framework into this specific policy revision.</w:t>
      </w:r>
    </w:p>
    <w:p>
      <w:pPr>
        <w:pStyle w:val="TableCaption"/>
      </w:pPr>
      <w:r>
        <w:t xml:space="preserve">Confirmed provisions, both directly quoted. The three intervening amendments' exact wording was not retrieved this pass — dates only.</w:t>
      </w:r>
    </w:p>
    <w:tbl>
      <w:tblPr>
        <w:tblStyle w:val="Table"/>
        <w:tblW w:type="auto" w:w="0"/>
        <w:tblLook w:firstRow="1" w:lastRow="0" w:firstColumn="0" w:lastColumn="0" w:noHBand="0" w:noVBand="0" w:val="0020"/>
        <w:tblCaption w:val="Confirmed provisions, both directly quoted. The three intervening amendments' exact wording was not retrieved this pass — dates only."/>
      </w:tblPr>
      <w:tblGrid>
        <w:gridCol w:w="2640"/>
        <w:gridCol w:w="2640"/>
        <w:gridCol w:w="2640"/>
      </w:tblGrid>
      <w:tr>
        <w:trPr>
          <w:tblHeader w:val="on"/>
        </w:trPr>
        <w:tc>
          <w:tcPr/>
          <w:p>
            <w:pPr>
              <w:pStyle w:val="Compact"/>
            </w:pPr>
            <w:r>
              <w:t xml:space="preserve">Provision</w:t>
            </w:r>
          </w:p>
        </w:tc>
        <w:tc>
          <w:tcPr/>
          <w:p>
            <w:pPr>
              <w:pStyle w:val="Compact"/>
            </w:pPr>
            <w:r>
              <w:t xml:space="preserve">2019 (By-law A.-6151(y)-268)</w:t>
            </w:r>
          </w:p>
        </w:tc>
        <w:tc>
          <w:tcPr/>
          <w:p>
            <w:pPr>
              <w:pStyle w:val="Compact"/>
            </w:pPr>
            <w:r>
              <w:t xml:space="preserve">Current, Oct 2025 (By-law A.-6151(as)-202)</w:t>
            </w:r>
          </w:p>
        </w:tc>
      </w:tr>
      <w:tr>
        <w:tc>
          <w:tcPr/>
          <w:p>
            <w:pPr>
              <w:pStyle w:val="Compact"/>
            </w:pPr>
            <w:r>
              <w:t xml:space="preserve">Annual report due</w:t>
            </w:r>
          </w:p>
        </w:tc>
        <w:tc>
          <w:tcPr/>
          <w:p>
            <w:pPr>
              <w:pStyle w:val="Compact"/>
            </w:pPr>
            <w:r>
              <w:t xml:space="preserve">April 30 (§8.11)</w:t>
            </w:r>
          </w:p>
        </w:tc>
        <w:tc>
          <w:tcPr/>
          <w:p>
            <w:pPr>
              <w:pStyle w:val="Compact"/>
            </w:pPr>
            <w:r>
              <w:t xml:space="preserve">May 31 (§35.1.1)</w:t>
            </w:r>
          </w:p>
        </w:tc>
      </w:tr>
      <w:tr>
        <w:tc>
          <w:tcPr/>
          <w:p>
            <w:pPr>
              <w:pStyle w:val="Compact"/>
            </w:pPr>
            <w:r>
              <w:t xml:space="preserve">Biannual reporting threshold</w:t>
            </w:r>
          </w:p>
        </w:tc>
        <w:tc>
          <w:tcPr/>
          <w:p>
            <w:pPr>
              <w:pStyle w:val="Compact"/>
            </w:pPr>
            <w:r>
              <w:t xml:space="preserve">not a single stated figure in the retrieved text</w:t>
            </w:r>
          </w:p>
        </w:tc>
        <w:tc>
          <w:tcPr/>
          <w:p>
            <w:pPr>
              <w:pStyle w:val="Compact"/>
            </w:pPr>
            <w:r>
              <w:t xml:space="preserve">$133,800 (goods/services) / $334,000 (construction) — §35.3.1(a)</w:t>
            </w:r>
          </w:p>
        </w:tc>
      </w:tr>
      <w:tr>
        <w:tc>
          <w:tcPr/>
          <w:p>
            <w:pPr>
              <w:pStyle w:val="Compact"/>
            </w:pPr>
            <w:r>
              <w:t xml:space="preserve">Contract-amendment trigger</w:t>
            </w:r>
          </w:p>
        </w:tc>
        <w:tc>
          <w:tcPr/>
          <w:p>
            <w:pPr>
              <w:pStyle w:val="Compact"/>
            </w:pPr>
            <w:r>
              <w:t xml:space="preserve">flat $50,000 or 3% of contract value, whichever greater (§20.3d–e)</w:t>
            </w:r>
          </w:p>
        </w:tc>
        <w:tc>
          <w:tcPr/>
          <w:p>
            <w:pPr>
              <w:pStyle w:val="Compact"/>
            </w:pPr>
            <w:r>
              <w:t xml:space="preserve">no flat threshold — triggers off exceeding the original Bid value (+ contingency)</w:t>
            </w:r>
            <w:r>
              <w:t xml:space="preserve"> </w:t>
            </w:r>
            <w:r>
              <w:rPr>
                <w:i/>
                <w:iCs/>
              </w:rPr>
              <w:t xml:space="preserve">and</w:t>
            </w:r>
            <w:r>
              <w:t xml:space="preserve"> </w:t>
            </w:r>
            <w:r>
              <w:t xml:space="preserve">applicable CFTA thresholds (§28.2vi)</w:t>
            </w:r>
          </w:p>
        </w:tc>
      </w:tr>
      <w:tr>
        <w:tc>
          <w:tcPr/>
          <w:p>
            <w:pPr>
              <w:pStyle w:val="Compact"/>
            </w:pPr>
            <w:r>
              <w:t xml:space="preserve">Emergency-purchase reporting</w:t>
            </w:r>
          </w:p>
        </w:tc>
        <w:tc>
          <w:tcPr/>
          <w:p>
            <w:pPr>
              <w:pStyle w:val="Compact"/>
            </w:pPr>
            <w:r>
              <w:t xml:space="preserve">not explicitly quantified in the retrieved text</w:t>
            </w:r>
          </w:p>
        </w:tc>
        <w:tc>
          <w:tcPr/>
          <w:p>
            <w:pPr>
              <w:pStyle w:val="Compact"/>
            </w:pPr>
            <w:r>
              <w:t xml:space="preserve">$133,800 aggregate to one supplier (§35.3.2)</w:t>
            </w:r>
          </w:p>
        </w:tc>
      </w:tr>
    </w:tbl>
    <w:p>
      <w:pPr>
        <w:pStyle w:val="BodyText"/>
      </w:pPr>
      <w:r>
        <w:rPr>
          <w:b/>
          <w:bCs/>
        </w:rPr>
        <w:t xml:space="preserve">SOURCE LOCK:</w:t>
      </w:r>
      <w:r>
        <w:t xml:space="preserve"> </w:t>
      </w:r>
      <w:r>
        <w:t xml:space="preserve">SOURCE LOCK City of London, Procurement of Goods and Services Policy — 2019 PDF revision (§8.11, §14.0–14.2, §20.3) and current consolidated text at london.ca/council-policies/procurement-goods-services-policy (§28.2, §35.1–35.3), both directly quoted. Full amendment-by-law list and window assignment in the procurement reproducibility package's procurement_policy_timeline.csv .</w:t>
      </w:r>
    </w:p>
    <w:p>
      <w:pPr>
        <w:pStyle w:val="BodyText"/>
      </w:pPr>
      <w:r>
        <w:rPr>
          <w:b/>
          <w:bCs/>
        </w:rPr>
        <w:t xml:space="preserve">A real correction:</w:t>
      </w:r>
      <w:r>
        <w:t xml:space="preserve"> </w:t>
      </w:r>
      <w:r>
        <w:t xml:space="preserve">A real correction An earlier pass at this edition presented the 2019 $50,000/3% amendment rule as though it were still current, without a version window. It isn't current — the policy dropped that flat threshold entirely by the current revision. Any procurement claim in this report should now be read against the table above, not a single undated "the policy says" citation.</w:t>
      </w:r>
    </w:p>
    <w:p>
      <w:pPr>
        <w:pStyle w:val="BodyText"/>
      </w:pPr>
      <w:r>
        <w:rPr>
          <w:b/>
          <w:bCs/>
        </w:rPr>
        <w:t xml:space="preserve">What this review has now done — and what's left:</w:t>
      </w:r>
      <w:r>
        <w:t xml:space="preserve"> </w:t>
      </w:r>
      <w:r>
        <w:t xml:space="preserve">What this review has now done — and what's left Joining the scraped award data against these thresholds row-by-row is now partly possible: 332 of 584 known-value awards (56.8%) exceed the current $133,800/$334,000 biannual-reporting threshold for their category — a real, computed lead, not yet cross-checked against the City's actual biannual reports to Council (that cross-check, and the three unretrieved intervening policy amendments, are the two remaining items — see the procurement reproducibility package's README).</w:t>
      </w:r>
    </w:p>
    <w:bookmarkEnd w:id="28"/>
    <w:bookmarkStart w:id="29" w:name="market-concentration-hhi"/>
    <w:p>
      <w:pPr>
        <w:pStyle w:val="Heading3"/>
      </w:pPr>
      <w:r>
        <w:t xml:space="preserve">Market concentration (HHI)</w:t>
      </w:r>
    </w:p>
    <w:p>
      <w:pPr>
        <w:pStyle w:val="FirstParagraph"/>
      </w:pPr>
      <w:r>
        <w:t xml:space="preserve">HHI, all known-value awards ($1.02B across 267 vendors) 949 Below 1,500 — the DOJ/FTC "unconcentrated" threshold</w:t>
      </w:r>
    </w:p>
    <w:p>
      <w:pPr>
        <w:pStyle w:val="BodyText"/>
      </w:pPr>
      <w:r>
        <w:t xml:space="preserve">HHI, within Infrastructure/Construction only 1,065 129 vendors; still below the unconcentrated threshold</w:t>
      </w:r>
    </w:p>
    <w:p>
      <w:pPr>
        <w:pStyle w:val="BodyText"/>
      </w:pPr>
      <w:r>
        <w:t xml:space="preserve">Largest single vendor's share, within Infrastructure/Construction 23.9 % Bre-Ex Construction Inc.</w:t>
      </w:r>
    </w:p>
    <w:p>
      <w:pPr>
        <w:pStyle w:val="BodyText"/>
      </w:pPr>
      <w:r>
        <w:rPr>
          <w:b/>
          <w:bCs/>
        </w:rPr>
        <w:t xml:space="preserve">What HHI adds:</w:t>
      </w:r>
      <w:r>
        <w:t xml:space="preserve"> </w:t>
      </w:r>
      <w:r>
        <w:t xml:space="preserve">What HHI adds The Herfindahl-Hirschman Index (sum of each vendor's squared market-share, 0–10,000) is the standard antitrust concentration measure. At 949 overall and 1,065 within the largest category, London's known-value award market sits below the 1,500 threshold regulators treat as "unconcentrated" — despite Bre-Ex's single-vendor share being the largest number in the vendor table above. This tempers rather than sharpens the concentration narrative: many vendors share the disclosed pool, and no single firm approaches dominance under a standard measure. A full market-share denominator (using total City spend, not just the ~30% of awards with a disclosed value) remains out of reach — see the roadmap in §19.</w:t>
      </w:r>
    </w:p>
    <w:bookmarkEnd w:id="29"/>
    <w:bookmarkStart w:id="30" w:name="Xa94ddea9cdb6615a3ab3796d29092bb06c04017"/>
    <w:p>
      <w:pPr>
        <w:pStyle w:val="Heading3"/>
      </w:pPr>
      <w:r>
        <w:t xml:space="preserve">Corporate-family normalization — tested, not just proposed</w:t>
      </w:r>
    </w:p>
    <w:p>
      <w:pPr>
        <w:pStyle w:val="FirstParagraph"/>
      </w:pPr>
      <w:r>
        <w:t xml:space="preserve">All 267 known-value vendors were scanned for an explicit corporate-family signal already present in their own legal name — "a division of X," or a numbered-Ontario-company operating under a trade name.</w:t>
      </w:r>
      <w:r>
        <w:t xml:space="preserve"> </w:t>
      </w:r>
      <w:r>
        <w:rPr>
          <w:b/>
          <w:bCs/>
        </w:rPr>
        <w:t xml:space="preserve">14 of 267</w:t>
      </w:r>
      <w:r>
        <w:t xml:space="preserve"> </w:t>
      </w:r>
      <w:r>
        <w:t xml:space="preserve">carry such a signal (e.g. Dufferin Construction Company is already correctly attributed as "a division of CRH Canada Group Inc" in the raw award text). Re-running HHI and the top-10 share grouped by corporate parent instead of raw legal name:</w:t>
      </w:r>
      <w:r>
        <w:t xml:space="preserve"> </w:t>
      </w:r>
      <w:r>
        <w:rPr>
          <w:b/>
          <w:bCs/>
        </w:rPr>
        <w:t xml:space="preserve">HHI unchanged at 949.4; top-10 share unchanged at 71.6%.</w:t>
      </w:r>
      <w:r>
        <w:t xml:space="preserve"> </w:t>
      </w:r>
      <w:r>
        <w:t xml:space="preserve">None of the 14 flagged vendors are large enough to move either figure. Two near-duplicate name pairs (Elgin Construction / Elgin Contracting and Restoration Ltd; Dielco / Dielco Industrial Contractors Ltd) were flagged as possibly the same entity but</w:t>
      </w:r>
      <w:r>
        <w:t xml:space="preserve"> </w:t>
      </w:r>
      <w:r>
        <w:rPr>
          <w:b/>
          <w:bCs/>
        </w:rPr>
        <w:t xml:space="preserve">not merged</w:t>
      </w:r>
      <w:r>
        <w:t xml:space="preserve"> </w:t>
      </w:r>
      <w:r>
        <w:t xml:space="preserve">— name similarity alone isn't evidence.</w:t>
      </w:r>
    </w:p>
    <w:bookmarkEnd w:id="30"/>
    <w:bookmarkStart w:id="31" w:name="Xd9f2ec0e6f2544f45ba895355b4f33f4fc9ccdc"/>
    <w:p>
      <w:pPr>
        <w:pStyle w:val="Heading3"/>
      </w:pPr>
      <w:r>
        <w:t xml:space="preserve">HHI by category — a real nuance to the "unconcentrated" finding</w:t>
      </w:r>
    </w:p>
    <w:p>
      <w:pPr>
        <w:pStyle w:val="TableCaption"/>
      </w:pPr>
      <w:r>
        <w:t xml:space="preserve">Vendor concentration within each procurement category, known-value awards only.</w:t>
      </w:r>
    </w:p>
    <w:tbl>
      <w:tblPr>
        <w:tblStyle w:val="Table"/>
        <w:tblW w:type="auto" w:w="0"/>
        <w:tblLook w:firstRow="1" w:lastRow="0" w:firstColumn="0" w:lastColumn="0" w:noHBand="0" w:noVBand="0" w:val="0020"/>
        <w:tblCaption w:val="Vendor concentration within each procurement category, known-value awards only."/>
      </w:tblPr>
      <w:tblGrid>
        <w:gridCol w:w="1584"/>
        <w:gridCol w:w="1584"/>
        <w:gridCol w:w="1584"/>
        <w:gridCol w:w="1584"/>
        <w:gridCol w:w="1584"/>
      </w:tblGrid>
      <w:tr>
        <w:trPr>
          <w:tblHeader w:val="on"/>
        </w:trPr>
        <w:tc>
          <w:tcPr/>
          <w:p>
            <w:pPr>
              <w:pStyle w:val="Compact"/>
            </w:pPr>
            <w:r>
              <w:t xml:space="preserve">Category</w:t>
            </w:r>
          </w:p>
        </w:tc>
        <w:tc>
          <w:tcPr/>
          <w:p>
            <w:pPr>
              <w:pStyle w:val="Compact"/>
            </w:pPr>
            <w:r>
              <w:t xml:space="preserve">Vendors</w:t>
            </w:r>
          </w:p>
        </w:tc>
        <w:tc>
          <w:tcPr/>
          <w:p>
            <w:pPr>
              <w:pStyle w:val="Compact"/>
            </w:pPr>
            <w:r>
              <w:t xml:space="preserve">Known total</w:t>
            </w:r>
          </w:p>
        </w:tc>
        <w:tc>
          <w:tcPr/>
          <w:p>
            <w:pPr>
              <w:pStyle w:val="Compact"/>
            </w:pPr>
            <w:r>
              <w:t xml:space="preserve">HHI</w:t>
            </w:r>
          </w:p>
        </w:tc>
        <w:tc>
          <w:tcPr/>
          <w:p>
            <w:pPr>
              <w:pStyle w:val="Compact"/>
            </w:pPr>
            <w:r>
              <w:t xml:space="preserve">Top vendor share</w:t>
            </w:r>
          </w:p>
        </w:tc>
      </w:tr>
      <w:tr>
        <w:tc>
          <w:tcPr/>
          <w:p>
            <w:pPr>
              <w:pStyle w:val="Compact"/>
            </w:pPr>
            <w:r>
              <w:t xml:space="preserve">Infrastructure/Construction</w:t>
            </w:r>
          </w:p>
        </w:tc>
        <w:tc>
          <w:tcPr/>
          <w:p>
            <w:pPr>
              <w:pStyle w:val="Compact"/>
            </w:pPr>
            <w:r>
              <w:t xml:space="preserve">129</w:t>
            </w:r>
          </w:p>
        </w:tc>
        <w:tc>
          <w:tcPr/>
          <w:p>
            <w:pPr>
              <w:pStyle w:val="Compact"/>
            </w:pPr>
            <w:r>
              <w:t xml:space="preserve">$964.1M</w:t>
            </w:r>
          </w:p>
        </w:tc>
        <w:tc>
          <w:tcPr/>
          <w:p>
            <w:pPr>
              <w:pStyle w:val="Compact"/>
            </w:pPr>
            <w:r>
              <w:t xml:space="preserve">1,065</w:t>
            </w:r>
          </w:p>
        </w:tc>
        <w:tc>
          <w:tcPr/>
          <w:p>
            <w:pPr>
              <w:pStyle w:val="Compact"/>
            </w:pPr>
            <w:r>
              <w:t xml:space="preserve">23.9%</w:t>
            </w:r>
          </w:p>
        </w:tc>
      </w:tr>
      <w:tr>
        <w:tc>
          <w:tcPr/>
          <w:p>
            <w:pPr>
              <w:pStyle w:val="Compact"/>
            </w:pPr>
            <w:r>
              <w:t xml:space="preserve">Goods/Equipment/Technology</w:t>
            </w:r>
          </w:p>
        </w:tc>
        <w:tc>
          <w:tcPr/>
          <w:p>
            <w:pPr>
              <w:pStyle w:val="Compact"/>
            </w:pPr>
            <w:r>
              <w:t xml:space="preserve">66</w:t>
            </w:r>
          </w:p>
        </w:tc>
        <w:tc>
          <w:tcPr/>
          <w:p>
            <w:pPr>
              <w:pStyle w:val="Compact"/>
            </w:pPr>
            <w:r>
              <w:t xml:space="preserve">$27.8M</w:t>
            </w:r>
          </w:p>
        </w:tc>
        <w:tc>
          <w:tcPr/>
          <w:p>
            <w:pPr>
              <w:pStyle w:val="Compact"/>
            </w:pPr>
            <w:r>
              <w:t xml:space="preserve">1,080</w:t>
            </w:r>
          </w:p>
        </w:tc>
        <w:tc>
          <w:tcPr/>
          <w:p>
            <w:pPr>
              <w:pStyle w:val="Compact"/>
            </w:pPr>
            <w:r>
              <w:t xml:space="preserve">28.2%</w:t>
            </w:r>
          </w:p>
        </w:tc>
      </w:tr>
      <w:tr>
        <w:tc>
          <w:tcPr/>
          <w:p>
            <w:pPr>
              <w:pStyle w:val="Compact"/>
            </w:pPr>
            <w:r>
              <w:t xml:space="preserve">Operations/Services</w:t>
            </w:r>
          </w:p>
        </w:tc>
        <w:tc>
          <w:tcPr/>
          <w:p>
            <w:pPr>
              <w:pStyle w:val="Compact"/>
            </w:pPr>
            <w:r>
              <w:t xml:space="preserve">44</w:t>
            </w:r>
          </w:p>
        </w:tc>
        <w:tc>
          <w:tcPr/>
          <w:p>
            <w:pPr>
              <w:pStyle w:val="Compact"/>
            </w:pPr>
            <w:r>
              <w:t xml:space="preserve">$8.5M</w:t>
            </w:r>
          </w:p>
        </w:tc>
        <w:tc>
          <w:tcPr/>
          <w:p>
            <w:pPr>
              <w:pStyle w:val="Compact"/>
            </w:pPr>
            <w:r>
              <w:t xml:space="preserve">943</w:t>
            </w:r>
          </w:p>
        </w:tc>
        <w:tc>
          <w:tcPr/>
          <w:p>
            <w:pPr>
              <w:pStyle w:val="Compact"/>
            </w:pPr>
            <w:r>
              <w:t xml:space="preserve">23.6%</w:t>
            </w:r>
          </w:p>
        </w:tc>
      </w:tr>
      <w:tr>
        <w:tc>
          <w:tcPr/>
          <w:p>
            <w:pPr>
              <w:pStyle w:val="Compact"/>
            </w:pPr>
            <w:r>
              <w:t xml:space="preserve">Other/Unclassified</w:t>
            </w:r>
          </w:p>
        </w:tc>
        <w:tc>
          <w:tcPr/>
          <w:p>
            <w:pPr>
              <w:pStyle w:val="Compact"/>
            </w:pPr>
            <w:r>
              <w:t xml:space="preserve">27</w:t>
            </w:r>
          </w:p>
        </w:tc>
        <w:tc>
          <w:tcPr/>
          <w:p>
            <w:pPr>
              <w:pStyle w:val="Compact"/>
            </w:pPr>
            <w:r>
              <w:t xml:space="preserve">$8.5M</w:t>
            </w:r>
          </w:p>
        </w:tc>
        <w:tc>
          <w:tcPr/>
          <w:p>
            <w:pPr>
              <w:pStyle w:val="Compact"/>
            </w:pPr>
            <w:r>
              <w:t xml:space="preserve">769</w:t>
            </w:r>
          </w:p>
        </w:tc>
        <w:tc>
          <w:tcPr/>
          <w:p>
            <w:pPr>
              <w:pStyle w:val="Compact"/>
            </w:pPr>
            <w:r>
              <w:t xml:space="preserve">18.5%</w:t>
            </w:r>
          </w:p>
        </w:tc>
      </w:tr>
      <w:tr>
        <w:tc>
          <w:tcPr/>
          <w:p>
            <w:pPr>
              <w:pStyle w:val="Compact"/>
            </w:pPr>
            <w:r>
              <w:t xml:space="preserve">Social/Community Services</w:t>
            </w:r>
          </w:p>
        </w:tc>
        <w:tc>
          <w:tcPr/>
          <w:p>
            <w:pPr>
              <w:pStyle w:val="Compact"/>
            </w:pPr>
            <w:r>
              <w:t xml:space="preserve">7</w:t>
            </w:r>
          </w:p>
        </w:tc>
        <w:tc>
          <w:tcPr/>
          <w:p>
            <w:pPr>
              <w:pStyle w:val="Compact"/>
            </w:pPr>
            <w:r>
              <w:t xml:space="preserve">$6.1M</w:t>
            </w:r>
          </w:p>
        </w:tc>
        <w:tc>
          <w:tcPr/>
          <w:p>
            <w:pPr>
              <w:pStyle w:val="Compact"/>
            </w:pPr>
            <w:r>
              <w:t xml:space="preserve">5,449</w:t>
            </w:r>
          </w:p>
        </w:tc>
        <w:tc>
          <w:tcPr/>
          <w:p>
            <w:pPr>
              <w:pStyle w:val="Compact"/>
            </w:pPr>
            <w:r>
              <w:t xml:space="preserve">72.6%</w:t>
            </w:r>
          </w:p>
        </w:tc>
      </w:tr>
      <w:tr>
        <w:tc>
          <w:tcPr/>
          <w:p>
            <w:pPr>
              <w:pStyle w:val="Compact"/>
            </w:pPr>
            <w:r>
              <w:t xml:space="preserve">Consulting/Professional Services</w:t>
            </w:r>
          </w:p>
        </w:tc>
        <w:tc>
          <w:tcPr/>
          <w:p>
            <w:pPr>
              <w:pStyle w:val="Compact"/>
            </w:pPr>
            <w:r>
              <w:t xml:space="preserve">16</w:t>
            </w:r>
          </w:p>
        </w:tc>
        <w:tc>
          <w:tcPr/>
          <w:p>
            <w:pPr>
              <w:pStyle w:val="Compact"/>
            </w:pPr>
            <w:r>
              <w:t xml:space="preserve">$4.7M</w:t>
            </w:r>
          </w:p>
        </w:tc>
        <w:tc>
          <w:tcPr/>
          <w:p>
            <w:pPr>
              <w:pStyle w:val="Compact"/>
            </w:pPr>
            <w:r>
              <w:t xml:space="preserve">2,174</w:t>
            </w:r>
          </w:p>
        </w:tc>
        <w:tc>
          <w:tcPr/>
          <w:p>
            <w:pPr>
              <w:pStyle w:val="Compact"/>
            </w:pPr>
            <w:r>
              <w:t xml:space="preserve">40.5%</w:t>
            </w:r>
          </w:p>
        </w:tc>
      </w:tr>
      <w:tr>
        <w:tc>
          <w:tcPr/>
          <w:p>
            <w:pPr>
              <w:pStyle w:val="Compact"/>
            </w:pPr>
            <w:r>
              <w:t xml:space="preserve">Sale/Lease/Revenue</w:t>
            </w:r>
          </w:p>
        </w:tc>
        <w:tc>
          <w:tcPr/>
          <w:p>
            <w:pPr>
              <w:pStyle w:val="Compact"/>
            </w:pPr>
            <w:r>
              <w:t xml:space="preserve">8</w:t>
            </w:r>
          </w:p>
        </w:tc>
        <w:tc>
          <w:tcPr/>
          <w:p>
            <w:pPr>
              <w:pStyle w:val="Compact"/>
            </w:pPr>
            <w:r>
              <w:t xml:space="preserve">$2.6M</w:t>
            </w:r>
          </w:p>
        </w:tc>
        <w:tc>
          <w:tcPr/>
          <w:p>
            <w:pPr>
              <w:pStyle w:val="Compact"/>
            </w:pPr>
            <w:r>
              <w:t xml:space="preserve">2,276</w:t>
            </w:r>
          </w:p>
        </w:tc>
        <w:tc>
          <w:tcPr/>
          <w:p>
            <w:pPr>
              <w:pStyle w:val="Compact"/>
            </w:pPr>
            <w:r>
              <w:t xml:space="preserve">37.0%</w:t>
            </w:r>
          </w:p>
        </w:tc>
      </w:tr>
    </w:tbl>
    <w:p>
      <w:pPr>
        <w:pStyle w:val="BodyText"/>
      </w:pPr>
      <w:r>
        <w:rPr>
          <w:b/>
          <w:bCs/>
        </w:rPr>
        <w:t xml:space="preserve">Read this carefully:</w:t>
      </w:r>
      <w:r>
        <w:t xml:space="preserve"> </w:t>
      </w:r>
      <w:r>
        <w:t xml:space="preserve">Read this carefully Social/Community Services (HHI 5,449) and Consulting/Professional Services (HHI 2,174) are highly concentrated by the same DOJ/FTC bands that call the overall and Infrastructure figures "unconcentrated" — the opposite direction from this section's headline finding. Both sit on small dollar bases (7 and 16 vendors, $6.1M and $4.7M respectively): a market with 7 vendors sharing $6M will mechanically produce a high HHI regardless of anything else. This is a real, worth-publishing nuance to "unconcentrated," not a bigger scandal — and not grounds for a favouritism claim on its own.</w:t>
      </w:r>
    </w:p>
    <w:p>
      <w:pPr>
        <w:pStyle w:val="BodyText"/>
      </w:pPr>
      <w:r>
        <w:rPr>
          <w:b/>
          <w:bCs/>
        </w:rPr>
        <w:t xml:space="preserve">SOURCE LOCK:</w:t>
      </w:r>
      <w:r>
        <w:t xml:space="preserve"> </w:t>
      </w:r>
      <w:r>
        <w:t xml:space="preserve">SOURCE LOCK City of London, Bids and Tenders portal ( london.bidsandtenders.ca ) — Contract Awards / Annual Statistics export, all posted years. Parsed to 1,978 award records; 1,073 high-confidence, 905 medium-confidence, 0 low-confidence. One 2012 record and a 14-record partial 2026 slice are included in totals but excluded from the year chart.</w:t>
      </w:r>
    </w:p>
    <w:bookmarkEnd w:id="31"/>
    <w:bookmarkStart w:id="34" w:name="X97c2f4ed1f72824ddf7cdd5f5aa98da354dae80"/>
    <w:p>
      <w:pPr>
        <w:pStyle w:val="Heading3"/>
      </w:pPr>
      <w:r>
        <w:t xml:space="preserve">Bid tabulations were already in the scrape — mostly untouched until now</w:t>
      </w:r>
    </w:p>
    <w:p>
      <w:pPr>
        <w:pStyle w:val="FirstParagraph"/>
      </w:pPr>
      <w:r>
        <w:t xml:space="preserve">Records with a recoverable competing-bid dollar tabulation 49.4 % 978 of 1,978 clean records — zero new scraping required</w:t>
      </w:r>
    </w:p>
    <w:p>
      <w:pPr>
        <w:pStyle w:val="BodyText"/>
      </w:pPr>
      <w:r>
        <w:t xml:space="preserve">High-value (&gt;$1M) known awards with a full recoverable bid tabulation 97.0 % 160 of 165 — the disclosure gap concentrates in smaller awards, not the big-ticket ones</w:t>
      </w:r>
    </w:p>
    <w:p>
      <w:pPr>
        <w:pStyle w:val="BodyText"/>
      </w:pPr>
      <w:r>
        <w:t xml:space="preserve">The portal's raw text already lists competing bidders' dollar amounts for most postings (e.g. "Frank Van Bussel &amp; Sons Ltd. $126,287.50 ... Royal Fence Limited $123,300.00 ... Award is to Royal Fence Limited"). Re-running the pipeline's own money-extraction logic against that stored text — confirmed to reproduce the pipeline's own bid-count field with 100% exact agreement across all 1,978 records — recovers this without a single new page fetch.</w:t>
      </w:r>
    </w:p>
    <w:p>
      <w:pPr>
        <w:pStyle w:val="BodyText"/>
      </w:pPr>
      <w:r>
        <w:rPr>
          <w:b/>
          <w:bCs/>
        </w:rPr>
        <w:t xml:space="preserve">Limits:</w:t>
      </w:r>
      <w:r>
        <w:t xml:space="preserve"> </w:t>
      </w:r>
      <w:r>
        <w:t xml:space="preserve">Limits This recovers competing dollar amounts , not always a clean bidder-to-amount pairing, and none of it includes evaluation scores, responsiveness determinations, or disqualification reasons — those are genuinely absent from the portal text, not just unextracted. Full methodology, per-record output, and the extraction script are in the procurement reproducibility package ( procurement_transaction_enrichment.csv ).</w:t>
      </w:r>
    </w:p>
    <w:bookmarkStart w:id="32" w:name="what-this-establishes"/>
    <w:p>
      <w:pPr>
        <w:pStyle w:val="Heading4"/>
      </w:pPr>
      <w:r>
        <w:t xml:space="preserve">What this establishes</w:t>
      </w:r>
    </w:p>
    <w:p>
      <w:pPr>
        <w:pStyle w:val="Compact"/>
        <w:numPr>
          <w:ilvl w:val="0"/>
          <w:numId w:val="1002"/>
        </w:numPr>
      </w:pPr>
      <w:r>
        <w:t xml:space="preserve">The share of publicly posted awards that carry no visible dollar figure.</w:t>
      </w:r>
    </w:p>
    <w:p>
      <w:pPr>
        <w:pStyle w:val="Compact"/>
        <w:numPr>
          <w:ilvl w:val="0"/>
          <w:numId w:val="1002"/>
        </w:numPr>
      </w:pPr>
      <w:r>
        <w:t xml:space="preserve">Which vendors and categories account for the awards that</w:t>
      </w:r>
      <w:r>
        <w:t xml:space="preserve"> </w:t>
      </w:r>
      <w:r>
        <w:rPr>
          <w:i/>
          <w:iCs/>
        </w:rPr>
        <w:t xml:space="preserve">do</w:t>
      </w:r>
      <w:r>
        <w:t xml:space="preserve"> </w:t>
      </w:r>
      <w:r>
        <w:t xml:space="preserve">disclose a value.</w:t>
      </w:r>
    </w:p>
    <w:p>
      <w:pPr>
        <w:pStyle w:val="Compact"/>
        <w:numPr>
          <w:ilvl w:val="0"/>
          <w:numId w:val="1002"/>
        </w:numPr>
      </w:pPr>
      <w:r>
        <w:t xml:space="preserve">That known-value awards concentrate almost entirely in large infrastructure/construction contracts — smaller goods, services and consulting awards mostly don't disclose a figure at all.</w:t>
      </w:r>
    </w:p>
    <w:bookmarkEnd w:id="32"/>
    <w:bookmarkStart w:id="33" w:name="what-it-does-not-establish"/>
    <w:p>
      <w:pPr>
        <w:pStyle w:val="Heading4"/>
      </w:pPr>
      <w:r>
        <w:t xml:space="preserve">What it does not establish</w:t>
      </w:r>
    </w:p>
    <w:p>
      <w:pPr>
        <w:pStyle w:val="Compact"/>
        <w:numPr>
          <w:ilvl w:val="0"/>
          <w:numId w:val="1003"/>
        </w:numPr>
      </w:pPr>
      <w:r>
        <w:t xml:space="preserve">Sole-sourcing, bid-rigging or favouritism. Concentration among a handful of large construction firms is consistent with how few contractors can bid competitively at that scale — it is not, by itself, evidence of improper vendor selection.</w:t>
      </w:r>
    </w:p>
    <w:p>
      <w:pPr>
        <w:pStyle w:val="Compact"/>
        <w:numPr>
          <w:ilvl w:val="0"/>
          <w:numId w:val="1003"/>
        </w:numPr>
      </w:pPr>
      <w:r>
        <w:t xml:space="preserve">The value of the 70.5% of awards with no disclosed figure — true total procurement spend is unknown and likely larger than the known-value total.</w:t>
      </w:r>
    </w:p>
    <w:p>
      <w:pPr>
        <w:pStyle w:val="Compact"/>
        <w:numPr>
          <w:ilvl w:val="0"/>
          <w:numId w:val="1003"/>
        </w:numPr>
      </w:pPr>
      <w:r>
        <w:t xml:space="preserve">Any conclusion from the pipeline's internal data-quality flags (unknown value, multi-award record, prequalification roster, low parser confidence) — these are automated screening labels for manual review, not confirmed irregularities.</w:t>
      </w:r>
    </w:p>
    <w:bookmarkEnd w:id="33"/>
    <w:bookmarkEnd w:id="34"/>
    <w:bookmarkEnd w:id="35"/>
    <w:bookmarkStart w:id="38" w:name="development-charge-reserve-fund-pressure"/>
    <w:p>
      <w:pPr>
        <w:pStyle w:val="Heading2"/>
      </w:pPr>
      <w:r>
        <w:t xml:space="preserve">Development-charge reserve fund pressure</w:t>
      </w:r>
    </w:p>
    <w:p>
      <w:pPr>
        <w:pStyle w:val="FirstParagraph"/>
      </w:pPr>
      <w:r>
        <w:t xml:space="preserve">New module — not present in Edition 1.0 or 2.0</w:t>
      </w:r>
    </w:p>
    <w:p>
      <w:pPr>
        <w:pStyle w:val="BodyText"/>
      </w:pPr>
      <w:r>
        <w:t xml:space="preserve">Edition 2.0 excluded "reserve pressure" and "development-charge pressure" as separate modules because the underlying aggregation workbooks were unavailable. The City's own</w:t>
      </w:r>
      <w:r>
        <w:t xml:space="preserve"> </w:t>
      </w:r>
      <w:r>
        <w:rPr>
          <w:i/>
          <w:iCs/>
        </w:rPr>
        <w:t xml:space="preserve">2024 Annual Report on DC Reserve Funds and DC Monitoring</w:t>
      </w:r>
      <w:r>
        <w:t xml:space="preserve"> </w:t>
      </w:r>
      <w:r>
        <w:t xml:space="preserve">— a public staff report presented to Council on 2025-05-26 — turns out to already contain the reconciled figures directly. Nothing here required re-derivation; it required reading the report.</w:t>
      </w:r>
    </w:p>
    <w:p>
      <w:pPr>
        <w:pStyle w:val="BodyText"/>
      </w:pPr>
      <w:r>
        <w:t xml:space="preserve">Cumulative DC revenue shortfall vs. the 2021 Background Study, 2021–2024 $114 million</w:t>
      </w:r>
    </w:p>
    <w:p>
      <w:pPr>
        <w:pStyle w:val="BodyText"/>
      </w:pPr>
      <w:r>
        <w:t xml:space="preserve">Debt tied to DC revenue (issued + authorized-unissued) $349.4 million</w:t>
      </w:r>
    </w:p>
    <w:p>
      <w:pPr>
        <w:pStyle w:val="BodyText"/>
      </w:pPr>
      <w:r>
        <w:t xml:space="preserve">Total City Services Reserve Fund balance, Dec 31 2024 $364.8 million $304.7M already committed to approved projects</w:t>
      </w:r>
    </w:p>
    <w:p>
      <w:pPr>
        <w:pStyle w:val="BodyText"/>
      </w:pPr>
      <w:r>
        <w:t xml:space="preserve">DC revenue: projected vs. actual</w:t>
      </w:r>
    </w:p>
    <w:p>
      <w:pPr>
        <w:pStyle w:val="BodyText"/>
      </w:pPr>
      <w:r>
        <w:t xml:space="preserve">$ millions, city-wide development-charge revenue</w:t>
      </w:r>
    </w:p>
    <w:p>
      <w:pPr>
        <w:pStyle w:val="BodyText"/>
      </w:pPr>
      <w:r>
        <w:t xml:space="preserve">Projected</w:t>
      </w:r>
      <w:r>
        <w:t xml:space="preserve"> </w:t>
      </w:r>
      <w:r>
        <w:t xml:space="preserve">Actual</w:t>
      </w:r>
    </w:p>
    <w:p>
      <w:pPr>
        <w:pStyle w:val="BodyText"/>
      </w:pPr>
      <w:r>
        <w:t xml:space="preserve">[Chart omitted in Word export — see the published web version for the interactive chart.]</w:t>
      </w:r>
    </w:p>
    <w:p>
      <w:pPr>
        <w:pStyle w:val="BlockText"/>
      </w:pPr>
      <w:r>
        <w:t xml:space="preserve">"It is likely 2025 DC revenues will underperform projections and CSRFs will be at a greater risk of being financially unsustainable."</w:t>
      </w:r>
      <w:r>
        <w:t xml:space="preserve"> </w:t>
      </w:r>
      <w:r>
        <w:t xml:space="preserve">City of London, 2024 Annual Report on DC Reserve Funds and DC Monitoring, p.5</w:t>
      </w:r>
    </w:p>
    <w:bookmarkStart w:id="36" w:name="X0497078359f4683279b128b5a211065e1801ac9"/>
    <w:p>
      <w:pPr>
        <w:pStyle w:val="Heading3"/>
      </w:pPr>
      <w:r>
        <w:t xml:space="preserve">City Services Reserve Fund activity, year ending Dec 31 2024</w:t>
      </w:r>
    </w:p>
    <w:p>
      <w:pPr>
        <w:pStyle w:val="TableCaption"/>
      </w:pPr>
      <w:r>
        <w:t xml:space="preserve">Selected funds, $ thousands. Full 11-fund breakdown appears in the source report's Appendix A.</w:t>
      </w:r>
    </w:p>
    <w:tbl>
      <w:tblPr>
        <w:tblStyle w:val="Table"/>
        <w:tblW w:type="auto" w:w="0"/>
        <w:tblLook w:firstRow="1" w:lastRow="0" w:firstColumn="0" w:lastColumn="0" w:noHBand="0" w:noVBand="0" w:val="0020"/>
        <w:tblCaption w:val="Selected funds, $ thousands. Full 11-fund breakdown appears in the source report's Appendix A."/>
      </w:tblPr>
      <w:tblGrid>
        <w:gridCol w:w="1980"/>
        <w:gridCol w:w="1980"/>
        <w:gridCol w:w="1980"/>
        <w:gridCol w:w="1980"/>
      </w:tblGrid>
      <w:tr>
        <w:trPr>
          <w:tblHeader w:val="on"/>
        </w:trPr>
        <w:tc>
          <w:tcPr/>
          <w:p>
            <w:pPr>
              <w:pStyle w:val="Compact"/>
            </w:pPr>
            <w:r>
              <w:t xml:space="preserve">Fund</w:t>
            </w:r>
          </w:p>
        </w:tc>
        <w:tc>
          <w:tcPr/>
          <w:p>
            <w:pPr>
              <w:pStyle w:val="Compact"/>
            </w:pPr>
            <w:r>
              <w:t xml:space="preserve">Opening balance</w:t>
            </w:r>
          </w:p>
        </w:tc>
        <w:tc>
          <w:tcPr/>
          <w:p>
            <w:pPr>
              <w:pStyle w:val="Compact"/>
            </w:pPr>
            <w:r>
              <w:t xml:space="preserve">Closing balance</w:t>
            </w:r>
          </w:p>
        </w:tc>
        <w:tc>
          <w:tcPr/>
          <w:p>
            <w:pPr>
              <w:pStyle w:val="Compact"/>
            </w:pPr>
            <w:r>
              <w:t xml:space="preserve">Committed LTD drawdowns</w:t>
            </w:r>
          </w:p>
        </w:tc>
      </w:tr>
      <w:tr>
        <w:tc>
          <w:tcPr/>
          <w:p>
            <w:pPr>
              <w:pStyle w:val="Compact"/>
            </w:pPr>
            <w:r>
              <w:t xml:space="preserve">Roads &amp; Related</w:t>
            </w:r>
          </w:p>
        </w:tc>
        <w:tc>
          <w:tcPr/>
          <w:p>
            <w:pPr>
              <w:pStyle w:val="Compact"/>
            </w:pPr>
            <w:r>
              <w:t xml:space="preserve">$131,199</w:t>
            </w:r>
          </w:p>
        </w:tc>
        <w:tc>
          <w:tcPr/>
          <w:p>
            <w:pPr>
              <w:pStyle w:val="Compact"/>
            </w:pPr>
            <w:r>
              <w:t xml:space="preserve">$141,296</w:t>
            </w:r>
          </w:p>
        </w:tc>
        <w:tc>
          <w:tcPr/>
          <w:p>
            <w:pPr>
              <w:pStyle w:val="Compact"/>
            </w:pPr>
            <w:r>
              <w:t xml:space="preserve">$134,669</w:t>
            </w:r>
          </w:p>
        </w:tc>
      </w:tr>
      <w:tr>
        <w:tc>
          <w:tcPr/>
          <w:p>
            <w:pPr>
              <w:pStyle w:val="Compact"/>
            </w:pPr>
            <w:r>
              <w:t xml:space="preserve">Water</w:t>
            </w:r>
          </w:p>
        </w:tc>
        <w:tc>
          <w:tcPr/>
          <w:p>
            <w:pPr>
              <w:pStyle w:val="Compact"/>
            </w:pPr>
            <w:r>
              <w:t xml:space="preserve">$42,602</w:t>
            </w:r>
          </w:p>
        </w:tc>
        <w:tc>
          <w:tcPr/>
          <w:p>
            <w:pPr>
              <w:pStyle w:val="Compact"/>
            </w:pPr>
            <w:r>
              <w:t xml:space="preserve">$50,806</w:t>
            </w:r>
          </w:p>
        </w:tc>
        <w:tc>
          <w:tcPr/>
          <w:p>
            <w:pPr>
              <w:pStyle w:val="Compact"/>
            </w:pPr>
            <w:r>
              <w:t xml:space="preserve">$25,591</w:t>
            </w:r>
          </w:p>
        </w:tc>
      </w:tr>
      <w:tr>
        <w:tc>
          <w:tcPr/>
          <w:p>
            <w:pPr>
              <w:pStyle w:val="Compact"/>
            </w:pPr>
            <w:r>
              <w:t xml:space="preserve">Wastewater</w:t>
            </w:r>
          </w:p>
        </w:tc>
        <w:tc>
          <w:tcPr/>
          <w:p>
            <w:pPr>
              <w:pStyle w:val="Compact"/>
            </w:pPr>
            <w:r>
              <w:t xml:space="preserve">$16,563</w:t>
            </w:r>
          </w:p>
        </w:tc>
        <w:tc>
          <w:tcPr/>
          <w:p>
            <w:pPr>
              <w:pStyle w:val="Compact"/>
            </w:pPr>
            <w:r>
              <w:t xml:space="preserve">$21,055</w:t>
            </w:r>
          </w:p>
        </w:tc>
        <w:tc>
          <w:tcPr/>
          <w:p>
            <w:pPr>
              <w:pStyle w:val="Compact"/>
            </w:pPr>
            <w:r>
              <w:t xml:space="preserve">$17,903</w:t>
            </w:r>
          </w:p>
        </w:tc>
      </w:tr>
      <w:tr>
        <w:tc>
          <w:tcPr/>
          <w:p>
            <w:pPr>
              <w:pStyle w:val="Compact"/>
            </w:pPr>
            <w:r>
              <w:t xml:space="preserve">Fire</w:t>
            </w:r>
          </w:p>
        </w:tc>
        <w:tc>
          <w:tcPr/>
          <w:p>
            <w:pPr>
              <w:pStyle w:val="Compact"/>
            </w:pPr>
            <w:r>
              <w:t xml:space="preserve">$37,783</w:t>
            </w:r>
          </w:p>
        </w:tc>
        <w:tc>
          <w:tcPr/>
          <w:p>
            <w:pPr>
              <w:pStyle w:val="Compact"/>
            </w:pPr>
            <w:r>
              <w:t xml:space="preserve">$43,640</w:t>
            </w:r>
          </w:p>
        </w:tc>
        <w:tc>
          <w:tcPr/>
          <w:p>
            <w:pPr>
              <w:pStyle w:val="Compact"/>
            </w:pPr>
            <w:r>
              <w:t xml:space="preserve">$40,673</w:t>
            </w:r>
          </w:p>
        </w:tc>
      </w:tr>
      <w:tr>
        <w:tc>
          <w:tcPr/>
          <w:p>
            <w:pPr>
              <w:pStyle w:val="Compact"/>
            </w:pPr>
            <w:r>
              <w:t xml:space="preserve">Parks &amp; Recreation</w:t>
            </w:r>
          </w:p>
        </w:tc>
        <w:tc>
          <w:tcPr/>
          <w:p>
            <w:pPr>
              <w:pStyle w:val="Compact"/>
            </w:pPr>
            <w:r>
              <w:t xml:space="preserve">$68,742</w:t>
            </w:r>
          </w:p>
        </w:tc>
        <w:tc>
          <w:tcPr/>
          <w:p>
            <w:pPr>
              <w:pStyle w:val="Compact"/>
            </w:pPr>
            <w:r>
              <w:t xml:space="preserve">$85,622</w:t>
            </w:r>
          </w:p>
        </w:tc>
        <w:tc>
          <w:tcPr/>
          <w:p>
            <w:pPr>
              <w:pStyle w:val="Compact"/>
            </w:pPr>
            <w:r>
              <w:t xml:space="preserve">$81,194</w:t>
            </w:r>
          </w:p>
        </w:tc>
      </w:tr>
      <w:tr>
        <w:tc>
          <w:tcPr/>
          <w:p>
            <w:pPr>
              <w:pStyle w:val="Compact"/>
            </w:pPr>
            <w:r>
              <w:rPr>
                <w:b/>
                <w:bCs/>
              </w:rPr>
              <w:t xml:space="preserve">All 11 funds, total</w:t>
            </w:r>
          </w:p>
        </w:tc>
        <w:tc>
          <w:tcPr/>
          <w:p>
            <w:pPr>
              <w:pStyle w:val="Compact"/>
            </w:pPr>
            <w:r>
              <w:rPr>
                <w:b/>
                <w:bCs/>
              </w:rPr>
              <w:t xml:space="preserve">$318,032</w:t>
            </w:r>
          </w:p>
        </w:tc>
        <w:tc>
          <w:tcPr/>
          <w:p>
            <w:pPr>
              <w:pStyle w:val="Compact"/>
            </w:pPr>
            <w:r>
              <w:rPr>
                <w:b/>
                <w:bCs/>
              </w:rPr>
              <w:t xml:space="preserve">$364,813</w:t>
            </w:r>
          </w:p>
        </w:tc>
        <w:tc>
          <w:tcPr/>
          <w:p>
            <w:pPr>
              <w:pStyle w:val="Compact"/>
            </w:pPr>
            <w:r>
              <w:rPr>
                <w:b/>
                <w:bCs/>
              </w:rPr>
              <w:t xml:space="preserve">$304,695</w:t>
            </w:r>
          </w:p>
        </w:tc>
      </w:tr>
    </w:tbl>
    <w:p>
      <w:pPr>
        <w:pStyle w:val="BodyText"/>
      </w:pPr>
      <w:r>
        <w:rPr>
          <w:b/>
          <w:bCs/>
        </w:rPr>
        <w:t xml:space="preserve">SOURCE LOCK:</w:t>
      </w:r>
      <w:r>
        <w:t xml:space="preserve"> </w:t>
      </w:r>
      <w:r>
        <w:t xml:space="preserve">SOURCE LOCK City of London, 2024 Annual Report on DC Reserve Funds and DC Monitoring , Staff Report presented 2025-05-26 — pp.1, 4–9 (revenue analysis, life-to-date capital budget), p.11 Appendix A (reserve fund activity), p.11 Table 2 (debt status).</w:t>
      </w:r>
    </w:p>
    <w:p>
      <w:pPr>
        <w:pStyle w:val="BodyText"/>
      </w:pPr>
      <w:r>
        <w:rPr>
          <w:b/>
          <w:bCs/>
        </w:rPr>
        <w:t xml:space="preserve">Correct interpretation:</w:t>
      </w:r>
      <w:r>
        <w:t xml:space="preserve"> </w:t>
      </w:r>
      <w:r>
        <w:t xml:space="preserve">Correct interpretation This is the City's own monitoring finding, not an allegation of misspending. It describes a structural mismatch — DC-funded debt obligations growing against two straight years of revenue shortfall — that the City is already tracking and reporting to Council. It is a reason for continued monitoring, not evidence that funds were misused.</w:t>
      </w:r>
    </w:p>
    <w:bookmarkEnd w:id="36"/>
    <w:bookmarkStart w:id="37" w:name="X280b3655c05bc43ff9db12f5295a9f7a8604caf"/>
    <w:p>
      <w:pPr>
        <w:pStyle w:val="Heading3"/>
      </w:pPr>
      <w:r>
        <w:t xml:space="preserve">2025 update — a newer, more current report exists</w:t>
      </w:r>
    </w:p>
    <w:p>
      <w:pPr>
        <w:pStyle w:val="FirstParagraph"/>
      </w:pPr>
      <w:r>
        <w:t xml:space="preserve">The City published a</w:t>
      </w:r>
      <w:r>
        <w:t xml:space="preserve"> </w:t>
      </w:r>
      <w:r>
        <w:rPr>
          <w:i/>
          <w:iCs/>
        </w:rPr>
        <w:t xml:space="preserve">2025 Annual Report on Development Charges Reserve Funds</w:t>
      </w:r>
      <w:r>
        <w:t xml:space="preserve"> </w:t>
      </w:r>
      <w:r>
        <w:t xml:space="preserve">(dated May 27, 2026, covering year ending Dec 31, 2025) — a more current source than the 2024 report above. Its Appendix A shows the trend reversed direction in one year: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Metric (all 11 CSRFs combined)</w:t>
            </w:r>
          </w:p>
        </w:tc>
        <w:tc>
          <w:tcPr/>
          <w:p>
            <w:pPr>
              <w:pStyle w:val="Compact"/>
            </w:pPr>
            <w:r>
              <w:t xml:space="preserve">2024</w:t>
            </w:r>
          </w:p>
        </w:tc>
        <w:tc>
          <w:tcPr/>
          <w:p>
            <w:pPr>
              <w:pStyle w:val="Compact"/>
            </w:pPr>
            <w:r>
              <w:t xml:space="preserve">2025</w:t>
            </w:r>
          </w:p>
        </w:tc>
      </w:tr>
      <w:tr>
        <w:tc>
          <w:tcPr/>
          <w:p>
            <w:pPr>
              <w:pStyle w:val="Compact"/>
            </w:pPr>
            <w:r>
              <w:t xml:space="preserve">Total contributions (DC revenue + interest)</w:t>
            </w:r>
          </w:p>
        </w:tc>
        <w:tc>
          <w:tcPr/>
          <w:p>
            <w:pPr>
              <w:pStyle w:val="Compact"/>
            </w:pPr>
            <w:r>
              <w:t xml:space="preserve">$128.4M</w:t>
            </w:r>
          </w:p>
        </w:tc>
        <w:tc>
          <w:tcPr/>
          <w:p>
            <w:pPr>
              <w:pStyle w:val="Compact"/>
            </w:pPr>
            <w:r>
              <w:t xml:space="preserve">$68.5M</w:t>
            </w:r>
          </w:p>
        </w:tc>
      </w:tr>
      <w:tr>
        <w:tc>
          <w:tcPr/>
          <w:p>
            <w:pPr>
              <w:pStyle w:val="Compact"/>
            </w:pPr>
            <w:r>
              <w:t xml:space="preserve">Total disbursements</w:t>
            </w:r>
          </w:p>
        </w:tc>
        <w:tc>
          <w:tcPr/>
          <w:p>
            <w:pPr>
              <w:pStyle w:val="Compact"/>
            </w:pPr>
            <w:r>
              <w:t xml:space="preserve">$81.7M</w:t>
            </w:r>
          </w:p>
        </w:tc>
        <w:tc>
          <w:tcPr/>
          <w:p>
            <w:pPr>
              <w:pStyle w:val="Compact"/>
            </w:pPr>
            <w:r>
              <w:t xml:space="preserve">$106.2M</w:t>
            </w:r>
          </w:p>
        </w:tc>
      </w:tr>
      <w:tr>
        <w:tc>
          <w:tcPr/>
          <w:p>
            <w:pPr>
              <w:pStyle w:val="Compact"/>
            </w:pPr>
            <w:r>
              <w:t xml:space="preserve">Closing balance, all funds</w:t>
            </w:r>
          </w:p>
        </w:tc>
        <w:tc>
          <w:tcPr/>
          <w:p>
            <w:pPr>
              <w:pStyle w:val="Compact"/>
            </w:pPr>
            <w:r>
              <w:t xml:space="preserve">$364.8M</w:t>
            </w:r>
          </w:p>
        </w:tc>
        <w:tc>
          <w:tcPr/>
          <w:p>
            <w:pPr>
              <w:pStyle w:val="Compact"/>
            </w:pPr>
            <w:r>
              <w:t xml:space="preserve">$327.1M</w:t>
            </w:r>
          </w:p>
        </w:tc>
      </w:tr>
      <w:tr>
        <w:tc>
          <w:tcPr/>
          <w:p>
            <w:pPr>
              <w:pStyle w:val="Compact"/>
            </w:pPr>
            <w:r>
              <w:t xml:space="preserve">Outstanding principal debt (issued)</w:t>
            </w:r>
          </w:p>
        </w:tc>
        <w:tc>
          <w:tcPr/>
          <w:p>
            <w:pPr>
              <w:pStyle w:val="Compact"/>
            </w:pPr>
            <w:r>
              <w:t xml:space="preserve">$81.7M</w:t>
            </w:r>
          </w:p>
        </w:tc>
        <w:tc>
          <w:tcPr/>
          <w:p>
            <w:pPr>
              <w:pStyle w:val="Compact"/>
            </w:pPr>
            <w:r>
              <w:t xml:space="preserve">$87.3M</w:t>
            </w:r>
          </w:p>
        </w:tc>
      </w:tr>
      <w:tr>
        <w:tc>
          <w:tcPr/>
          <w:p>
            <w:pPr>
              <w:pStyle w:val="Compact"/>
            </w:pPr>
            <w:r>
              <w:t xml:space="preserve">Authorized-but-unissued debt</w:t>
            </w:r>
          </w:p>
        </w:tc>
        <w:tc>
          <w:tcPr/>
          <w:p>
            <w:pPr>
              <w:pStyle w:val="Compact"/>
            </w:pPr>
            <w:r>
              <w:t xml:space="preserve">$376.8M</w:t>
            </w:r>
          </w:p>
        </w:tc>
        <w:tc>
          <w:tcPr/>
          <w:p>
            <w:pPr>
              <w:pStyle w:val="Compact"/>
            </w:pPr>
            <w:r>
              <w:t xml:space="preserve">$289.6M</w:t>
            </w:r>
          </w:p>
        </w:tc>
      </w:tr>
    </w:tbl>
    <w:p>
      <w:pPr>
        <w:pStyle w:val="BodyText"/>
      </w:pPr>
      <w:r>
        <w:t xml:space="preserve">The 2025 report also states that, in aggregate, opening reserve balances are committed to</w:t>
      </w:r>
      <w:r>
        <w:t xml:space="preserve"> </w:t>
      </w:r>
      <w:r>
        <w:rPr>
          <w:b/>
          <w:bCs/>
        </w:rPr>
        <w:t xml:space="preserve">249%</w:t>
      </w:r>
      <w:r>
        <w:t xml:space="preserve"> </w:t>
      </w:r>
      <w:r>
        <w:t xml:space="preserve">of their value once future drawdowns and debt are counted (Roads alone: 365%; Wastewater: 436%) — a figure the report itself explains is not a liquidity crisis, since it nets against DC revenue the City still expects to collect over each project's life, not against cash on hand today. This edition presents that figure with the same caveat the underlying research brief raised: a bare commitments-to-balance ratio reads as alarming but can be misleading without a real revenue-timing model behind it — which this report, like the City's own, does not attempt to build.</w:t>
      </w:r>
    </w:p>
    <w:p>
      <w:pPr>
        <w:pStyle w:val="BodyText"/>
      </w:pPr>
      <w:r>
        <w:t xml:space="preserve">The 2025 report also discontinued a prior practice of charging DC reserve funds interest for using the City's working capital, and moved its revenue/expenditure-shortfall commentary (the source of the $114M figure above) into a separate Growth Management Implementation Strategy (GMIS) report not yet published as of this report's date — so a 2025-equivalent shortfall figure isn't available from this document.</w:t>
      </w:r>
    </w:p>
    <w:p>
      <w:pPr>
        <w:pStyle w:val="BodyText"/>
      </w:pPr>
      <w:r>
        <w:rPr>
          <w:b/>
          <w:bCs/>
        </w:rPr>
        <w:t xml:space="preserve">SOURCE LOCK:</w:t>
      </w:r>
      <w:r>
        <w:t xml:space="preserve"> </w:t>
      </w:r>
      <w:r>
        <w:t xml:space="preserve">SOURCE LOCK City of London, 2025 Annual Report on Development Charges Reserve Funds , Staff Report dated May 27, 2026 — Appendix A p.8 (Table 1: Summary of Reserve Fund Activity, Table 2: debt status), Appendix C p.51 (% of balance committed), §1.4–1.5 pp.6–7 (interim-financing discontinuation, GMIS handoff).</w:t>
      </w:r>
    </w:p>
    <w:bookmarkEnd w:id="37"/>
    <w:bookmarkEnd w:id="38"/>
    <w:bookmarkStart w:id="41" w:name="financial-condition"/>
    <w:p>
      <w:pPr>
        <w:pStyle w:val="Heading2"/>
      </w:pPr>
      <w:r>
        <w:t xml:space="preserve">Financial condition</w:t>
      </w:r>
    </w:p>
    <w:p>
      <w:pPr>
        <w:pStyle w:val="FirstParagraph"/>
      </w:pPr>
      <w:r>
        <w:t xml:space="preserve">New module — audited Consolidated Financial Statements, Dec 31 2024</w:t>
      </w:r>
    </w:p>
    <w:p>
      <w:pPr>
        <w:pStyle w:val="BodyText"/>
      </w:pPr>
      <w:r>
        <w:t xml:space="preserve">Everything below is read directly from the KPMG-audited statements — no aggregation workbook required.</w:t>
      </w:r>
    </w:p>
    <w:p>
      <w:pPr>
        <w:pStyle w:val="BodyText"/>
      </w:pPr>
      <w:r>
        <w:t xml:space="preserve">Net financial assets (financial assets minus liabilities) $1,232.8 M up from $1,056.1M in 2023 — a net asset position, not net debt</w:t>
      </w:r>
    </w:p>
    <w:p>
      <w:pPr>
        <w:pStyle w:val="BodyText"/>
      </w:pPr>
      <w:r>
        <w:t xml:space="preserve">Long-term debt outstanding $193.6 M down from $199.0M in 2023</w:t>
      </w:r>
    </w:p>
    <w:p>
      <w:pPr>
        <w:pStyle w:val="BodyText"/>
      </w:pPr>
      <w:r>
        <w:t xml:space="preserve">Accumulated surplus $6,119.3 M up from $5,670.5M in 2023</w:t>
      </w:r>
    </w:p>
    <w:p>
      <w:pPr>
        <w:pStyle w:val="BodyText"/>
      </w:pPr>
      <w:r>
        <w:t xml:space="preserve">Employee benefits payable $232.4 M incl. $118.9M post-employment/retirement; $208.3M partially reserved</w:t>
      </w:r>
    </w:p>
    <w:p>
      <w:pPr>
        <w:pStyle w:val="BodyText"/>
      </w:pPr>
      <w:r>
        <w:t xml:space="preserve">Tangible capital assets: acquired vs. amortized, 2024 $399.9M / $205.4M capital stock growing ~2× faster than it's depreciating</w:t>
      </w:r>
    </w:p>
    <w:p>
      <w:pPr>
        <w:pStyle w:val="BodyText"/>
      </w:pPr>
      <w:r>
        <w:t xml:space="preserve">Disclosed future commitments $604.9 M $418.5M facilities/infra contracts + $151.9M fleet/equipment/premises + $23.4M tax-grant programs + $10.6M affordable housing</w:t>
      </w:r>
    </w:p>
    <w:bookmarkStart w:id="39" w:name="contingent-liabilities-and-guarantees"/>
    <w:p>
      <w:pPr>
        <w:pStyle w:val="Heading3"/>
      </w:pPr>
      <w:r>
        <w:t xml:space="preserve">Contingent liabilities and guarantees</w:t>
      </w:r>
    </w:p>
    <w:p>
      <w:pPr>
        <w:pStyle w:val="Compact"/>
        <w:numPr>
          <w:ilvl w:val="0"/>
          <w:numId w:val="1004"/>
        </w:numPr>
      </w:pPr>
      <w:r>
        <w:rPr>
          <w:b/>
          <w:bCs/>
        </w:rPr>
        <w:t xml:space="preserve">Environmental remediation:</w:t>
      </w:r>
      <w:r>
        <w:t xml:space="preserve"> </w:t>
      </w:r>
      <w:r>
        <w:t xml:space="preserve">the City is liable for ongoing coal-tar remediation on land along the Thames River (a historic 1850s–1930s coal gasification site). The statement discloses an indeterminate ongoing monthly cost, not a fixed dollar provision.</w:t>
      </w:r>
    </w:p>
    <w:p>
      <w:pPr>
        <w:pStyle w:val="Compact"/>
        <w:numPr>
          <w:ilvl w:val="0"/>
          <w:numId w:val="1004"/>
        </w:numPr>
      </w:pPr>
      <w:r>
        <w:rPr>
          <w:b/>
          <w:bCs/>
        </w:rPr>
        <w:t xml:space="preserve">Self-insurance:</w:t>
      </w:r>
      <w:r>
        <w:t xml:space="preserve"> </w:t>
      </w:r>
      <w:r>
        <w:t xml:space="preserve">a $22.4M reserve fund covers jointly self-insured liability, property and casualty claims across the City and its boards; $3.0M in claims were expensed in 2024. Unsettled claims exist with an outcome the statement says "cannot be determined at this time."</w:t>
      </w:r>
    </w:p>
    <w:p>
      <w:pPr>
        <w:pStyle w:val="Compact"/>
        <w:numPr>
          <w:ilvl w:val="0"/>
          <w:numId w:val="1004"/>
        </w:numPr>
      </w:pPr>
      <w:r>
        <w:rPr>
          <w:b/>
          <w:bCs/>
        </w:rPr>
        <w:t xml:space="preserve">Loan guarantees:</w:t>
      </w:r>
      <w:r>
        <w:t xml:space="preserve"> </w:t>
      </w:r>
      <w:r>
        <w:t xml:space="preserve">up to $764K to the IESO for Lake Huron Primary Water Supply System power purchases; up to $8.372M maximum exposure guaranteeing a CMHC credit facility for London &amp; Middlesex Community Housing Inc. ($7.608M drawn as of Dec 31, 2024).</w:t>
      </w:r>
    </w:p>
    <w:bookmarkEnd w:id="39"/>
    <w:bookmarkStart w:id="40" w:name="consolidated-entities"/>
    <w:p>
      <w:pPr>
        <w:pStyle w:val="Heading3"/>
      </w:pPr>
      <w:r>
        <w:t xml:space="preserve">Consolidated entities</w:t>
      </w:r>
    </w:p>
    <w:p>
      <w:pPr>
        <w:pStyle w:val="FirstParagraph"/>
      </w:pPr>
      <w:r>
        <w:t xml:space="preserve">Thirteen boards and commissions are fully consolidated into these figures, including London Police Services Board, London Transit Commission, London Public Library Board, London &amp; Middlesex Community Housing Inc., Housing Development Corporation London, Covent Garden Market Corporation, London Convention Centre Corporation and Museum London. London Hydro Inc. and two joint ventures are accounted for separately by modified equity method — their assets and liabilities are not folded into the totals above.</w:t>
      </w:r>
    </w:p>
    <w:p>
      <w:pPr>
        <w:pStyle w:val="BodyText"/>
      </w:pPr>
      <w:r>
        <w:rPr>
          <w:b/>
          <w:bCs/>
        </w:rPr>
        <w:t xml:space="preserve">SOURCE LOCK:</w:t>
      </w:r>
      <w:r>
        <w:t xml:space="preserve"> </w:t>
      </w:r>
      <w:r>
        <w:t xml:space="preserve">SOURCE LOCK City of London, 2024 Consolidated Financial Statements — Statement of Financial Position (p.7), Note 12 Employee Benefits Payable (pp.49–50), Note 16 Contingent Liabilities (pp.63–64), Note 17 Loan Guarantees (p.65), Note 18 Commitments (pp.65–67), Note 1(a) Basis of Consolidation (p.13).</w:t>
      </w:r>
    </w:p>
    <w:p>
      <w:pPr>
        <w:pStyle w:val="BodyText"/>
      </w:pPr>
      <w:r>
        <w:rPr>
          <w:b/>
          <w:bCs/>
        </w:rPr>
        <w:t xml:space="preserve">Correct interpretation:</w:t>
      </w:r>
      <w:r>
        <w:t xml:space="preserve"> </w:t>
      </w:r>
      <w:r>
        <w:t xml:space="preserve">Correct interpretation A net financial asset position and falling long-term debt are, on their face, healthy signals — they belong alongside §5's infrastructure gap and §10's DC reserve pressure, not instead of them. Tangible capital assets growing roughly twice as fast as they're being amortized is consistent with §5's finding: this is a growing-stock renewal problem, not yet a shrinking-asset one.</w:t>
      </w:r>
    </w:p>
    <w:bookmarkEnd w:id="40"/>
    <w:bookmarkEnd w:id="41"/>
    <w:bookmarkStart w:id="57" w:name="salary-disclosure-trends-20212025"/>
    <w:p>
      <w:pPr>
        <w:pStyle w:val="Heading2"/>
      </w:pPr>
      <w:r>
        <w:t xml:space="preserve">Salary disclosure trends, 2021–2025</w:t>
      </w:r>
    </w:p>
    <w:p>
      <w:pPr>
        <w:pStyle w:val="FirstParagraph"/>
      </w:pPr>
      <w:r>
        <w:t xml:space="preserve">Reinstated — official Ontario Sunshine List  </w:t>
      </w:r>
      <w:r>
        <w:t xml:space="preserve"> </w:t>
      </w:r>
      <w:r>
        <w:t xml:space="preserve">Role buckets are a heuristic, not an official City category</w:t>
      </w:r>
    </w:p>
    <w:p>
      <w:pPr>
        <w:pStyle w:val="BodyText"/>
      </w:pPr>
      <w:r>
        <w:t xml:space="preserve">Edition 2.0 removed "title-inferred salary categories" because they hadn't been independently replayed from official raw files. The underlying file is the</w:t>
      </w:r>
      <w:r>
        <w:t xml:space="preserve"> </w:t>
      </w:r>
      <w:r>
        <w:rPr>
          <w:b/>
          <w:bCs/>
        </w:rPr>
        <w:t xml:space="preserve">Ontario Public Sector Salary Disclosure</w:t>
      </w:r>
      <w:r>
        <w:t xml:space="preserve"> </w:t>
      </w:r>
      <w:r>
        <w:t xml:space="preserve">("Sunshine List") compendium, filtered to rows where Employer is exactly "City Of London" — an official Province of Ontario dataset, not a City-produced or inferred one. The year-over-year totals below come straight from that filtered file. Only the role-bucket breakdown is a keyword-based heuristic layered on top, and it is labelled as such throughout.</w:t>
      </w:r>
    </w:p>
    <w:p>
      <w:pPr>
        <w:pStyle w:val="BodyText"/>
      </w:pPr>
      <w:r>
        <w:t xml:space="preserve">Disclosed employees, 2021 → 2025 579 → 831 +43.5% headcount</w:t>
      </w:r>
    </w:p>
    <w:p>
      <w:pPr>
        <w:pStyle w:val="BodyText"/>
      </w:pPr>
      <w:r>
        <w:t xml:space="preserve">Total compensation, 2021 → 2025 $74.4M → $109.0M +46.5%</w:t>
      </w:r>
    </w:p>
    <w:p>
      <w:pPr>
        <w:pStyle w:val="BodyText"/>
      </w:pPr>
      <w:r>
        <w:t xml:space="preserve">Average disclosed salary, 2021 → 2025 $127.5K → $129.7K +1.7% nominal — growth is headcount-driven, not per-person pay</w:t>
      </w:r>
    </w:p>
    <w:p>
      <w:pPr>
        <w:pStyle w:val="BodyText"/>
      </w:pPr>
      <w:r>
        <w:t xml:space="preserve">Disclosed headcount by role bucket, 2021 vs. 2025</w:t>
      </w:r>
    </w:p>
    <w:p>
      <w:pPr>
        <w:pStyle w:val="BodyText"/>
      </w:pPr>
      <w:r>
        <w:t xml:space="preserve">Heuristic title-keyword classification — see caveat below</w:t>
      </w:r>
    </w:p>
    <w:p>
      <w:pPr>
        <w:pStyle w:val="BodyText"/>
      </w:pPr>
      <w:r>
        <w:t xml:space="preserve">2021</w:t>
      </w:r>
      <w:r>
        <w:t xml:space="preserve"> </w:t>
      </w:r>
      <w:r>
        <w:t xml:space="preserve">2025</w:t>
      </w:r>
    </w:p>
    <w:p>
      <w:pPr>
        <w:pStyle w:val="BodyText"/>
      </w:pPr>
      <w:r>
        <w:t xml:space="preserve">[Chart omitted in Word export — see the published web version for the interactive chart.]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 bucket (heuristic)</w:t>
            </w:r>
          </w:p>
        </w:tc>
        <w:tc>
          <w:tcPr/>
          <w:p>
            <w:pPr>
              <w:pStyle w:val="Compact"/>
            </w:pPr>
            <w:r>
              <w:t xml:space="preserve">2021</w:t>
            </w:r>
          </w:p>
        </w:tc>
        <w:tc>
          <w:tcPr/>
          <w:p>
            <w:pPr>
              <w:pStyle w:val="Compact"/>
            </w:pPr>
            <w:r>
              <w:t xml:space="preserve">2025</w:t>
            </w:r>
          </w:p>
        </w:tc>
        <w:tc>
          <w:tcPr/>
          <w:p>
            <w:pPr>
              <w:pStyle w:val="Compact"/>
            </w:pPr>
            <w:r>
              <w:t xml:space="preserve">Change</w:t>
            </w:r>
          </w:p>
        </w:tc>
      </w:tr>
      <w:tr>
        <w:tc>
          <w:tcPr/>
          <w:p>
            <w:pPr>
              <w:pStyle w:val="Compact"/>
            </w:pPr>
            <w:r>
              <w:t xml:space="preserve">Management / Supervisor</w:t>
            </w:r>
          </w:p>
        </w:tc>
        <w:tc>
          <w:tcPr/>
          <w:p>
            <w:pPr>
              <w:pStyle w:val="Compact"/>
            </w:pPr>
            <w:r>
              <w:t xml:space="preserve">167</w:t>
            </w:r>
          </w:p>
        </w:tc>
        <w:tc>
          <w:tcPr/>
          <w:p>
            <w:pPr>
              <w:pStyle w:val="Compact"/>
            </w:pPr>
            <w:r>
              <w:t xml:space="preserve">293</w:t>
            </w:r>
          </w:p>
        </w:tc>
        <w:tc>
          <w:tcPr/>
          <w:p>
            <w:pPr>
              <w:pStyle w:val="Compact"/>
            </w:pPr>
            <w:r>
              <w:t xml:space="preserve">+75.4%</w:t>
            </w:r>
          </w:p>
        </w:tc>
      </w:tr>
      <w:tr>
        <w:tc>
          <w:tcPr/>
          <w:p>
            <w:pPr>
              <w:pStyle w:val="Compact"/>
            </w:pPr>
            <w:r>
              <w:t xml:space="preserve">Professional / Technical / Advisory</w:t>
            </w:r>
          </w:p>
        </w:tc>
        <w:tc>
          <w:tcPr/>
          <w:p>
            <w:pPr>
              <w:pStyle w:val="Compact"/>
            </w:pPr>
            <w:r>
              <w:t xml:space="preserve">35</w:t>
            </w:r>
          </w:p>
        </w:tc>
        <w:tc>
          <w:tcPr/>
          <w:p>
            <w:pPr>
              <w:pStyle w:val="Compact"/>
            </w:pPr>
            <w:r>
              <w:t xml:space="preserve">76</w:t>
            </w:r>
          </w:p>
        </w:tc>
        <w:tc>
          <w:tcPr/>
          <w:p>
            <w:pPr>
              <w:pStyle w:val="Compact"/>
            </w:pPr>
            <w:r>
              <w:t xml:space="preserve">+117.1%</w:t>
            </w:r>
          </w:p>
        </w:tc>
      </w:tr>
      <w:tr>
        <w:tc>
          <w:tcPr/>
          <w:p>
            <w:pPr>
              <w:pStyle w:val="Compact"/>
            </w:pPr>
            <w:r>
              <w:t xml:space="preserve">Director / Senior Manager</w:t>
            </w:r>
          </w:p>
        </w:tc>
        <w:tc>
          <w:tcPr/>
          <w:p>
            <w:pPr>
              <w:pStyle w:val="Compact"/>
            </w:pPr>
            <w:r>
              <w:t xml:space="preserve">36</w:t>
            </w:r>
          </w:p>
        </w:tc>
        <w:tc>
          <w:tcPr/>
          <w:p>
            <w:pPr>
              <w:pStyle w:val="Compact"/>
            </w:pPr>
            <w:r>
              <w:t xml:space="preserve">42</w:t>
            </w:r>
          </w:p>
        </w:tc>
        <w:tc>
          <w:tcPr/>
          <w:p>
            <w:pPr>
              <w:pStyle w:val="Compact"/>
            </w:pPr>
            <w:r>
              <w:t xml:space="preserve">+16.7%</w:t>
            </w:r>
          </w:p>
        </w:tc>
      </w:tr>
      <w:tr>
        <w:tc>
          <w:tcPr/>
          <w:p>
            <w:pPr>
              <w:pStyle w:val="Compact"/>
            </w:pPr>
            <w:r>
              <w:t xml:space="preserve">Administrative / Program Delivery</w:t>
            </w:r>
          </w:p>
        </w:tc>
        <w:tc>
          <w:tcPr/>
          <w:p>
            <w:pPr>
              <w:pStyle w:val="Compact"/>
            </w:pPr>
            <w:r>
              <w:t xml:space="preserve">9</w:t>
            </w:r>
          </w:p>
        </w:tc>
        <w:tc>
          <w:tcPr/>
          <w:p>
            <w:pPr>
              <w:pStyle w:val="Compact"/>
            </w:pPr>
            <w:r>
              <w:t xml:space="preserve">23</w:t>
            </w:r>
          </w:p>
        </w:tc>
        <w:tc>
          <w:tcPr/>
          <w:p>
            <w:pPr>
              <w:pStyle w:val="Compact"/>
            </w:pPr>
            <w:r>
              <w:t xml:space="preserve">+155.6%</w:t>
            </w:r>
          </w:p>
        </w:tc>
      </w:tr>
      <w:tr>
        <w:tc>
          <w:tcPr/>
          <w:p>
            <w:pPr>
              <w:pStyle w:val="Compact"/>
            </w:pPr>
            <w:r>
              <w:t xml:space="preserve">Executive / Senior Leadership</w:t>
            </w:r>
          </w:p>
        </w:tc>
        <w:tc>
          <w:tcPr/>
          <w:p>
            <w:pPr>
              <w:pStyle w:val="Compact"/>
            </w:pPr>
            <w:r>
              <w:t xml:space="preserve">8</w:t>
            </w:r>
          </w:p>
        </w:tc>
        <w:tc>
          <w:tcPr/>
          <w:p>
            <w:pPr>
              <w:pStyle w:val="Compact"/>
            </w:pPr>
            <w:r>
              <w:t xml:space="preserve">8</w:t>
            </w:r>
          </w:p>
        </w:tc>
        <w:tc>
          <w:tcPr/>
          <w:p>
            <w:pPr>
              <w:pStyle w:val="Compact"/>
            </w:pPr>
            <w:r>
              <w:t xml:space="preserve">0.0%</w:t>
            </w:r>
          </w:p>
        </w:tc>
      </w:tr>
      <w:tr>
        <w:tc>
          <w:tcPr/>
          <w:p>
            <w:pPr>
              <w:pStyle w:val="Compact"/>
            </w:pPr>
            <w:r>
              <w:t xml:space="preserve">Fire / Emergency Frontline</w:t>
            </w:r>
          </w:p>
        </w:tc>
        <w:tc>
          <w:tcPr/>
          <w:p>
            <w:pPr>
              <w:pStyle w:val="Compact"/>
            </w:pPr>
            <w:r>
              <w:t xml:space="preserve">310</w:t>
            </w:r>
          </w:p>
        </w:tc>
        <w:tc>
          <w:tcPr/>
          <w:p>
            <w:pPr>
              <w:pStyle w:val="Compact"/>
            </w:pPr>
            <w:r>
              <w:t xml:space="preserve">325</w:t>
            </w:r>
          </w:p>
        </w:tc>
        <w:tc>
          <w:tcPr/>
          <w:p>
            <w:pPr>
              <w:pStyle w:val="Compact"/>
            </w:pPr>
            <w:r>
              <w:t xml:space="preserve">+4.8%</w:t>
            </w:r>
          </w:p>
        </w:tc>
      </w:tr>
      <w:tr>
        <w:tc>
          <w:tcPr/>
          <w:p>
            <w:pPr>
              <w:pStyle w:val="Compact"/>
            </w:pPr>
            <w:r>
              <w:t xml:space="preserve">Operations / Trades / Field</w:t>
            </w:r>
          </w:p>
        </w:tc>
        <w:tc>
          <w:tcPr/>
          <w:p>
            <w:pPr>
              <w:pStyle w:val="Compact"/>
            </w:pPr>
            <w:r>
              <w:t xml:space="preserve">5</w:t>
            </w:r>
          </w:p>
        </w:tc>
        <w:tc>
          <w:tcPr/>
          <w:p>
            <w:pPr>
              <w:pStyle w:val="Compact"/>
            </w:pPr>
            <w:r>
              <w:t xml:space="preserve">43</w:t>
            </w:r>
          </w:p>
        </w:tc>
        <w:tc>
          <w:tcPr/>
          <w:p>
            <w:pPr>
              <w:pStyle w:val="Compact"/>
            </w:pPr>
            <w:r>
              <w:t xml:space="preserve">+760.0%</w:t>
            </w:r>
          </w:p>
        </w:tc>
      </w:tr>
      <w:tr>
        <w:tc>
          <w:tcPr/>
          <w:p>
            <w:pPr>
              <w:pStyle w:val="Compact"/>
            </w:pPr>
            <w:r>
              <w:t xml:space="preserve">Other / Unclassified</w:t>
            </w:r>
          </w:p>
        </w:tc>
        <w:tc>
          <w:tcPr/>
          <w:p>
            <w:pPr>
              <w:pStyle w:val="Compact"/>
            </w:pPr>
            <w:r>
              <w:t xml:space="preserve">9</w:t>
            </w:r>
          </w:p>
        </w:tc>
        <w:tc>
          <w:tcPr/>
          <w:p>
            <w:pPr>
              <w:pStyle w:val="Compact"/>
            </w:pPr>
            <w:r>
              <w:t xml:space="preserve">21</w:t>
            </w:r>
          </w:p>
        </w:tc>
        <w:tc>
          <w:tcPr/>
          <w:p>
            <w:pPr>
              <w:pStyle w:val="Compact"/>
            </w:pPr>
            <w:r>
              <w:t xml:space="preserve">+133.3%</w:t>
            </w:r>
          </w:p>
        </w:tc>
      </w:tr>
    </w:tbl>
    <w:p>
      <w:pPr>
        <w:pStyle w:val="BodyText"/>
      </w:pPr>
      <w:r>
        <w:rPr>
          <w:b/>
          <w:bCs/>
        </w:rPr>
        <w:t xml:space="preserve">SOURCE LOCK:</w:t>
      </w:r>
      <w:r>
        <w:t xml:space="preserve"> </w:t>
      </w:r>
      <w:r>
        <w:t xml:space="preserve">SOURCE LOCK Ontario Public Sector Salary Disclosure CSV compendium, 2021–2025, filtered to Employer = "City Of London." Role buckets are a keyword-matched heuristic applied to disclosed job titles for this review only.</w:t>
      </w:r>
    </w:p>
    <w:p>
      <w:pPr>
        <w:pStyle w:val="BodyText"/>
      </w:pPr>
      <w:r>
        <w:rPr>
          <w:b/>
          <w:bCs/>
        </w:rPr>
        <w:t xml:space="preserve">Caveat — read before citing:</w:t>
      </w:r>
      <w:r>
        <w:t xml:space="preserve"> </w:t>
      </w:r>
      <w:r>
        <w:t xml:space="preserve">Caveat — read before citing The Sunshine List discloses only employees above Ontario's compensation threshold, not total City headcount. "Role bucket" is this review's own title-keyword classification, not an official City organizational category, and small buckets (Operations/Trades/Field, Administrative) can swing sharply in percentage terms off a low base — the Management/Supervisor pattern (167→293, more than 1.7× the overall headcount growth rate off a base large enough to matter) is the one worth a direct records request to HR for an official org-chart breakdown; the others are noted for completeness, not emphasis.</w:t>
      </w:r>
    </w:p>
    <w:bookmarkStart w:id="42" w:name="what-total-city-headcount-actually-is"/>
    <w:p>
      <w:pPr>
        <w:pStyle w:val="Heading3"/>
      </w:pPr>
      <w:r>
        <w:t xml:space="preserve">What "total City headcount" actually is</w:t>
      </w:r>
    </w:p>
    <w:p>
      <w:pPr>
        <w:pStyle w:val="FirstParagraph"/>
      </w:pPr>
      <w:r>
        <w:t xml:space="preserve">Every one of the City's 92 published 2024–2027 service Business Plans prints a "Full-Time Equivalents (FTE's)" line for that service. Summed directly:</w:t>
      </w:r>
    </w:p>
    <w:p>
      <w:pPr>
        <w:pStyle w:val="BodyText"/>
      </w:pPr>
      <w:r>
        <w:t xml:space="preserve">Total FTE across 92 City service business plans, 2024 4,690.9 excludes London Police Service — separately governed, not one of these 92 plans</w:t>
      </w:r>
    </w:p>
    <w:p>
      <w:pPr>
        <w:pStyle w:val="BodyText"/>
      </w:pPr>
      <w:r>
        <w:t xml:space="preserve">2024 Sunshine List disclosed employees / total FTE 831 / 4,690.9 ≈17.7% of City FTE earned above the $100K disclosure threshold</w:t>
      </w:r>
    </w:p>
    <w:p>
      <w:pPr>
        <w:pStyle w:val="BodyText"/>
      </w:pPr>
      <w:r>
        <w:t xml:space="preserve">Largest single-service FTE counts LTC 652.4 · Fire 420.6 · Dearness Home 283.2 Middlesex-London Health Unit (265.4) and Ontario Works (233.0) are shared/provincially-funded services, not pure City discretionary staffing</w:t>
      </w:r>
    </w:p>
    <w:p>
      <w:pPr>
        <w:pStyle w:val="BodyText"/>
      </w:pPr>
      <w:r>
        <w:rPr>
          <w:b/>
          <w:bCs/>
        </w:rPr>
        <w:t xml:space="preserve">SOURCE LOCK:</w:t>
      </w:r>
      <w:r>
        <w:t xml:space="preserve"> </w:t>
      </w:r>
      <w:r>
        <w:t xml:space="preserve">SOURCE LOCK City of London, 2024 to 2027 Business Plans, one PDF per service (92 total) — "Full-Time Equivalents (FTE's)" line, 2024 column, each plan's budget-summary table.</w:t>
      </w:r>
    </w:p>
    <w:p>
      <w:pPr>
        <w:pStyle w:val="BodyText"/>
      </w:pPr>
      <w:r>
        <w:rPr>
          <w:b/>
          <w:bCs/>
        </w:rPr>
        <w:t xml:space="preserve">What this changes:</w:t>
      </w:r>
      <w:r>
        <w:t xml:space="preserve"> </w:t>
      </w:r>
      <w:r>
        <w:t xml:space="preserve">What this changes This section's headline pattern above is deliberately described as "growth in the publicly disclosed salary layer," not "administrative bloat" — that stricter claim would need the Management/Supervisor FTE share specifically, which these business plans don't break out by role level, only by service. What this FTE total does establish is the real denominator: roughly one in six City employees crosses the Sunshine List threshold, a sourced ratio rather than an assumption.</w:t>
      </w:r>
    </w:p>
    <w:bookmarkEnd w:id="42"/>
    <w:bookmarkStart w:id="43" w:name="X24e15d5de0db60c39ed3f7dd58874ec53edd871"/>
    <w:p>
      <w:pPr>
        <w:pStyle w:val="Heading3"/>
      </w:pPr>
      <w:r>
        <w:t xml:space="preserve">Productivity ratios — only where numerator and denominator actually match</w:t>
      </w:r>
    </w:p>
    <w:p>
      <w:pPr>
        <w:pStyle w:val="FirstParagraph"/>
      </w:pPr>
      <w:r>
        <w:t xml:space="preserve">Two real, scope-matched ratios, both from the same 2024–2027 Business Plans as the FTE figures above:</w:t>
      </w:r>
    </w:p>
    <w:p>
      <w:pPr>
        <w:pStyle w:val="BodyText"/>
      </w:pPr>
      <w:r>
        <w:t xml:space="preserve">Lane-kilometres of road maintained per Roadway Maintenance FTE 29.3 3,836 lane-km ÷ 130.8 FTE (2024)</w:t>
      </w:r>
    </w:p>
    <w:p>
      <w:pPr>
        <w:pStyle w:val="BodyText"/>
      </w:pPr>
      <w:r>
        <w:t xml:space="preserve">2025 housing units approved per Building Approvals FTE 60.5 5,462 units (§6) ÷ 90.2 FTE (2025)</w:t>
      </w:r>
    </w:p>
    <w:p>
      <w:pPr>
        <w:pStyle w:val="BodyText"/>
      </w:pPr>
      <w:r>
        <w:rPr>
          <w:b/>
          <w:bCs/>
        </w:rPr>
        <w:t xml:space="preserve">SOURCE LOCK:</w:t>
      </w:r>
      <w:r>
        <w:t xml:space="preserve"> </w:t>
      </w:r>
      <w:r>
        <w:t xml:space="preserve">SOURCE LOCK City of London, 2024 to 2027 Business Plans — "074 Roadway Maintenance" (3,836 lane-km, p.1; FTE table p.2) and "011 Building Approvals" (FTE table p.2); housing-unit figure from §6's 2025 Annual Development Report.</w:t>
      </w:r>
    </w:p>
    <w:bookmarkEnd w:id="43"/>
    <w:bookmarkStart w:id="44" w:name="X970808c9afe350d7085d346a6dcba04573cdc15"/>
    <w:p>
      <w:pPr>
        <w:pStyle w:val="Heading3"/>
      </w:pPr>
      <w:r>
        <w:t xml:space="preserve">The real sworn-officer count — found this pass, from Ontario's own municipal filing</w:t>
      </w:r>
    </w:p>
    <w:p>
      <w:pPr>
        <w:pStyle w:val="FirstParagraph"/>
      </w:pPr>
      <w:r>
        <w:t xml:space="preserve">The Sunshine List and Business Plans can't answer "how many sworn officers does London have" — neither discloses a rank/uniform split. The previous pass tried and dropped this exact question because public secondary sources gave three inconsistent numbers. This pass went to the primary source instead: every Ontario municipality is legally required to file an annual</w:t>
      </w:r>
      <w:r>
        <w:t xml:space="preserve"> </w:t>
      </w:r>
      <w:r>
        <w:rPr>
          <w:b/>
          <w:bCs/>
        </w:rPr>
        <w:t xml:space="preserve">Financial Information Return (FIR)</w:t>
      </w:r>
      <w:r>
        <w:t xml:space="preserve"> </w:t>
      </w:r>
      <w:r>
        <w:t xml:space="preserve">with the Ministry of Municipal Affairs and Housing (Municipal Act, s.294(1)) — a real, government-run open-data filing, downloaded directly from the Province's own portal (</w:t>
      </w:r>
      <w:r>
        <w:rPr>
          <w:rStyle w:val="VerbatimChar"/>
        </w:rPr>
        <w:t xml:space="preserve">efis.fma.csc.gov.on.ca</w:t>
      </w:r>
      <w:r>
        <w:t xml:space="preserve">). Its Schedule 80A, "Municipal Workforce Profile," gives an official Uniform/Civilian split for both Police and Fire:</w:t>
      </w:r>
    </w:p>
    <w:p>
      <w:pPr>
        <w:pStyle w:val="BodyText"/>
      </w:pPr>
      <w:r>
        <w:t xml:space="preserve">London Police Service — sworn (Uniform) 781 + 304 civilian full-time, 9 part-time, 23 seasonal (1,085 FT total)</w:t>
      </w:r>
    </w:p>
    <w:p>
      <w:pPr>
        <w:pStyle w:val="BodyText"/>
      </w:pPr>
      <w:r>
        <w:t xml:space="preserve">London Fire Department — sworn (Uniform) 376 + 80 civilian full-time, 2 seasonal (456 FT total)</w:t>
      </w:r>
    </w:p>
    <w:p>
      <w:pPr>
        <w:pStyle w:val="BodyText"/>
      </w:pPr>
      <w:r>
        <w:t xml:space="preserve">Citywide funded positions, all functions + joint boards 5,358 full-time; + 269 part-time, 2,042 seasonal (2025 filing)</w:t>
      </w:r>
    </w:p>
    <w:p>
      <w:pPr>
        <w:pStyle w:val="BodyText"/>
      </w:pPr>
      <w:r>
        <w:t xml:space="preserve">This 5,358 figure is a different, complementary measure from §12's own 4,690.9 Business-Plan FTE total above, not a replacement for it — the FIR count is raw</w:t>
      </w:r>
      <w:r>
        <w:t xml:space="preserve"> </w:t>
      </w:r>
      <w:r>
        <w:rPr>
          <w:i/>
          <w:iCs/>
        </w:rPr>
        <w:t xml:space="preserve">funded-position headcount</w:t>
      </w:r>
      <w:r>
        <w:t xml:space="preserve"> </w:t>
      </w:r>
      <w:r>
        <w:t xml:space="preserve">(not FTE-weighted), and unlike the Business Plans it</w:t>
      </w:r>
      <w:r>
        <w:t xml:space="preserve"> </w:t>
      </w:r>
      <w:r>
        <w:rPr>
          <w:b/>
          <w:bCs/>
        </w:rPr>
        <w:t xml:space="preserve">includes</w:t>
      </w:r>
      <w:r>
        <w:t xml:space="preserve"> </w:t>
      </w:r>
      <w:r>
        <w:t xml:space="preserve">Police (1,085) and the City's joint local boards (Transit 647, Middlesex-London Health Unit 275, London Public Library 335, plus 206 "Other" — 1,463 combined), which the Business Plans total explicitly excludes. The two totals measure genuinely different scopes and should never be added together or treated as competing answers to the same question. The FIR's own "Proportion of Municipal Employees Covered by Collective Agreements (%)" field — which would have given a real union/non-union split, the closest official proxy to a spans-of-control figure — was left blank in the 2025 filing.</w:t>
      </w:r>
    </w:p>
    <w:p>
      <w:pPr>
        <w:pStyle w:val="BodyText"/>
      </w:pPr>
      <w:r>
        <w:rPr>
          <w:b/>
          <w:bCs/>
        </w:rPr>
        <w:t xml:space="preserve">SOURCE LOCK:</w:t>
      </w:r>
      <w:r>
        <w:t xml:space="preserve"> </w:t>
      </w:r>
      <w:r>
        <w:t xml:space="preserve">SOURCE LOCK Province of Ontario, Ministry of Municipal Affairs and Housing, 2025 Financial Information Return for "London C" (Asmt Code 3936, MAH Code 59101), Schedule 80A "Municipal Workforce Profile," filed 2026-07-30, posted 2026-08-07 — downloaded directly from efis.fma.csc.gov.on.ca.</w:t>
      </w:r>
    </w:p>
    <w:p>
      <w:pPr>
        <w:pStyle w:val="BodyText"/>
      </w:pPr>
      <w:r>
        <w:rPr>
          <w:b/>
          <w:bCs/>
        </w:rPr>
        <w:t xml:space="preserve">What was checked and ruled out this pass — overtime, vacancy rate, turnover, management ratio:</w:t>
      </w:r>
      <w:r>
        <w:t xml:space="preserve"> </w:t>
      </w:r>
      <w:r>
        <w:t xml:space="preserve">What was checked and ruled out this pass — overtime, vacancy rate, turnover, management ratio The Business Plans and the FIR were the two most likely official sources for the rest of the workforce-audit brief (overtime spend, a citywide vacancy rate, turnover, a management-ratio or spans-of-control figure) — both were checked directly and neither contains them; the FIR's statistical schedules stop at headcount and don't extend to any of the four. One narrow, real, dollar-scale vacancy signal exists: the City's own 2024 Year-End Operating Budget Monitoring Report attributes a $0.6 million personnel-cost savings specifically to "Vacancies, mainly attributed to the delay in filling new positions added in the Multi-Year Budget" — but only for the Wastewater and Treatment rate-supported budget, not citywide, and expressed as a dollar variance, not a vacancy rate or headcount. Separately checked and ruled out: whether London received third-party Service Delivery Review or Organizational Review funding under Ontario's Audit and Accountability Fund / Municipal Modernization Program (checked the funding program's own published report registry directly — no City of London entry exists; the funded reviews in that registry are overwhelmingly small/rural municipalities, e.g. Armor Township, Powassan, West Grey). A "management ratio" specifically was not computed even as an estimate: the only role-level breakdown available (§12's Sunshine List Management/Supervisor bucket, 167→293) is a compensation-threshold sample of employees earning above $100K, while the FIR headcount is a full-population function count — dividing one by the other would produce a number that looks precise but compares two structurally incompatible denominators, which this edition's verification standard treats as a defect, not a shortcut. Overtime dollars, a citywide vacancy rate and turnover remain genuinely unavailable without a direct HR records request.</w:t>
      </w:r>
    </w:p>
    <w:bookmarkEnd w:id="44"/>
    <w:bookmarkStart w:id="45" w:name="Xed59fdb9dafc154140e9996c4084e41174b3d10"/>
    <w:p>
      <w:pPr>
        <w:pStyle w:val="Heading3"/>
      </w:pPr>
      <w:r>
        <w:t xml:space="preserve">Fire — a real annual report found this pass</w:t>
      </w:r>
    </w:p>
    <w:p>
      <w:pPr>
        <w:pStyle w:val="FirstParagraph"/>
      </w:pPr>
      <w:r>
        <w:t xml:space="preserve">Total 2024 responses 13,937 12,186 emergency + 1,748 non-emergency</w:t>
      </w:r>
    </w:p>
    <w:p>
      <w:pPr>
        <w:pStyle w:val="BodyText"/>
      </w:pPr>
      <w:r>
        <w:t xml:space="preserve">Responses per Fire Rescue Services FTE 33.1 13,937 ÷ 420.6 FTE (2024)</w:t>
      </w:r>
    </w:p>
    <w:p>
      <w:pPr>
        <w:pStyle w:val="BodyText"/>
      </w:pPr>
      <w:r>
        <w:t xml:space="preserve">2024 residential fires without a working smoke alarm 21 % 50 of 235 residential fires</w:t>
      </w:r>
    </w:p>
    <w:p>
      <w:pPr>
        <w:pStyle w:val="BodyText"/>
      </w:pPr>
      <w:r>
        <w:t xml:space="preserve">Also: 4,519 fire inspections, 767 rental-unit licence inspections, and 121 vulnerable-occupancy inspections conducted in 2024. London Fire Department and London Police Service are jointly building a shared</w:t>
      </w:r>
      <w:r>
        <w:t xml:space="preserve"> </w:t>
      </w:r>
      <w:r>
        <w:rPr>
          <w:b/>
          <w:bCs/>
        </w:rPr>
        <w:t xml:space="preserve">Protective Services Training Facility</w:t>
      </w:r>
      <w:r>
        <w:t xml:space="preserve"> </w:t>
      </w:r>
      <w:r>
        <w:t xml:space="preserve">— almost certainly the same project as §3's FS1095 "Fire Training Campus" ($68.3M) and the Police service-improvement training project, though the exact ID match wasn't independently confirmed this pass. An explicit response-time-in-minutes compliance figure was not found in this report; it references "the average response time metric" without stating the number.</w:t>
      </w:r>
    </w:p>
    <w:p>
      <w:pPr>
        <w:pStyle w:val="BodyText"/>
      </w:pPr>
      <w:r>
        <w:rPr>
          <w:b/>
          <w:bCs/>
        </w:rPr>
        <w:t xml:space="preserve">SOURCE LOCK:</w:t>
      </w:r>
      <w:r>
        <w:t xml:space="preserve"> </w:t>
      </w:r>
      <w:r>
        <w:t xml:space="preserve">SOURCE LOCK City of London, London Fire Department Fire Master Plan Annual Update , Report to Community and Protective Services Committee, May 20, 2025 (pub-london.escribemeetings.com, DocumentId=116197) — full 7-page report retrieved and read.</w:t>
      </w:r>
    </w:p>
    <w:bookmarkEnd w:id="45"/>
    <w:bookmarkStart w:id="46" w:name="Xb6788bd005ce66c1be532c9373cc235e58922a7"/>
    <w:p>
      <w:pPr>
        <w:pStyle w:val="Heading3"/>
      </w:pPr>
      <w:r>
        <w:t xml:space="preserve">Water — a real, mandated compliance report, mostly clean</w:t>
      </w:r>
    </w:p>
    <w:p>
      <w:pPr>
        <w:pStyle w:val="FirstParagraph"/>
      </w:pPr>
      <w:r>
        <w:t xml:space="preserve">Regulated parameters tested, 2024 exceedances 0 of ~70+ Every regulated inorganic/organic parameter: no MAC exceedance</w:t>
      </w:r>
    </w:p>
    <w:p>
      <w:pPr>
        <w:pStyle w:val="BodyText"/>
      </w:pPr>
      <w:r>
        <w:t xml:space="preserve">Adverse bacteriological incidents, 2024 1 April 25, 2024; resampled clean the next day</w:t>
      </w:r>
    </w:p>
    <w:p>
      <w:pPr>
        <w:pStyle w:val="BodyText"/>
      </w:pPr>
      <w:r>
        <w:t xml:space="preserve">Population served ~431,000 Average day demand 131.4 MLD, peak 164.1 MLD (Jun 18, 2024)</w:t>
      </w:r>
    </w:p>
    <w:p>
      <w:pPr>
        <w:pStyle w:val="BodyText"/>
      </w:pPr>
      <w:r>
        <w:t xml:space="preserve">Testing regime: monthly microbiological/chlorine sampling at 57 locations, ~3,000 random grab samples, up to 117 parameters at 13 standard locations, plus ~4,000 additional construction/maintenance-related chlorine tests annually — all disclosed as exceeding MECP's minimum requirements.</w:t>
      </w:r>
    </w:p>
    <w:p>
      <w:pPr>
        <w:pStyle w:val="BodyText"/>
      </w:pPr>
      <w:r>
        <w:rPr>
          <w:b/>
          <w:bCs/>
        </w:rPr>
        <w:t xml:space="preserve">SOURCE LOCK:</w:t>
      </w:r>
      <w:r>
        <w:t xml:space="preserve"> </w:t>
      </w:r>
      <w:r>
        <w:t xml:space="preserve">SOURCE LOCK City of London, 2024 Drinking Water Summary Report (O.Reg 170/03 mandated, presented to Civic Works Committee Feb 24, 2025) — full 42-page report retrieved; water-quality sampling summary and adverse-incident log directly read.</w:t>
      </w:r>
    </w:p>
    <w:bookmarkEnd w:id="46"/>
    <w:bookmarkStart w:id="47" w:name="Xd2d5815b3c0739d872c482912b38a4373c4b73f"/>
    <w:p>
      <w:pPr>
        <w:pStyle w:val="Heading3"/>
      </w:pPr>
      <w:r>
        <w:t xml:space="preserve">Wastewater — 17 real incidents in 2024, mostly one storm event</w:t>
      </w:r>
    </w:p>
    <w:p>
      <w:pPr>
        <w:pStyle w:val="FirstParagraph"/>
      </w:pPr>
      <w:r>
        <w:t xml:space="preserve">Collection system overflows + sewage spills, 2024 17 15 overflows (with disclosed volumes) + 2 spills (obstruction-caused)</w:t>
      </w:r>
    </w:p>
    <w:p>
      <w:pPr>
        <w:pStyle w:val="BodyText"/>
      </w:pPr>
      <w:r>
        <w:t xml:space="preserve">System scale 1,155 km sewers · 34 pumping stations · 5 treatment plants</w:t>
      </w:r>
    </w:p>
    <w:p>
      <w:pPr>
        <w:pStyle w:val="BodyText"/>
      </w:pPr>
      <w:r>
        <w:t xml:space="preserve">8 of the 15 disclosed overflows happened within a single 3-day window, July 15–18, 2024, across 8 different stations (Adelaide, Dingman, Medway, Hyde Park, Pond Mills, Sunninghill, Berkshire, Byron) — consistent with a heavy-rainfall event overwhelming the combined/sanitary system rather than a series of unrelated failures. The largest single overflow: Dingman, July 16–18, 26.6 hours, 23,997 m³. The two spills (April 26 and Oct 22, 2024) were both obstruction-caused, with "obstruction removed / ongoing monitoring" as the corrective action. Maintenance in 2024: 852,285 m of sewer flushed, 60,675 m CCTV-inspected across 1,092 sewers, 15,722 manholes inspected.</w:t>
      </w:r>
    </w:p>
    <w:p>
      <w:pPr>
        <w:pStyle w:val="BodyText"/>
      </w:pPr>
      <w:r>
        <w:rPr>
          <w:b/>
          <w:bCs/>
        </w:rPr>
        <w:t xml:space="preserve">SOURCE LOCK:</w:t>
      </w:r>
      <w:r>
        <w:t xml:space="preserve"> </w:t>
      </w:r>
      <w:r>
        <w:t xml:space="preserve">SOURCE LOCK City of London, 2024 Annual Performance Report — Municipal Sewage Collection System (Environmental Compliance Approval #006-W601) — Tables 1, 4 and 5, full 33-page report retrieved and read.</w:t>
      </w:r>
    </w:p>
    <w:p>
      <w:pPr>
        <w:pStyle w:val="BodyText"/>
      </w:pPr>
      <w:r>
        <w:rPr>
          <w:b/>
          <w:bCs/>
        </w:rPr>
        <w:t xml:space="preserve">Correct interpretation:</w:t>
      </w:r>
      <w:r>
        <w:t xml:space="preserve"> </w:t>
      </w:r>
      <w:r>
        <w:t xml:space="preserve">Correct interpretation Combined and sanitary sewer overflows during heavy rain are a known, regulator-tracked category, not evidence of neglect — the report itself describes an active, funded capital mitigation program (hydraulic modelling, high-priority site ranking, a long-term source-control strategy) aimed at reducing them. Presented here as real, disclosed, quantified compliance data — not as a finding of wrongdoing.</w:t>
      </w:r>
    </w:p>
    <w:bookmarkEnd w:id="47"/>
    <w:bookmarkStart w:id="48" w:name="Xb87e48fd5340484b3a719ebb51942ef77958b45"/>
    <w:p>
      <w:pPr>
        <w:pStyle w:val="Heading3"/>
      </w:pPr>
      <w:r>
        <w:t xml:space="preserve">Roads — real pavement condition data, by road class</w:t>
      </w:r>
    </w:p>
    <w:p>
      <w:pPr>
        <w:pStyle w:val="FirstParagraph"/>
      </w:pPr>
      <w:r>
        <w:t xml:space="preserve">Transportation assets (roadways, structures, traffic) in Fair-to-Very-Good condition 77 %</w:t>
      </w:r>
    </w:p>
    <w:p>
      <w:pPr>
        <w:pStyle w:val="BodyText"/>
      </w:pPr>
      <w:r>
        <w:t xml:space="preserve">Sidewalks in Very Good condition 86 % +12% Good</w:t>
      </w:r>
    </w:p>
    <w:p>
      <w:pPr>
        <w:pStyle w:val="BodyText"/>
      </w:pPr>
      <w:r>
        <w:t xml:space="preserve">Pavement Quality Index (PQI) network targets 55–70 vary by road classification, on a 0–100 scale</w:t>
      </w:r>
    </w:p>
    <w:p>
      <w:pPr>
        <w:pStyle w:val="BodyText"/>
      </w:pPr>
      <w:r>
        <w:t xml:space="preserve">Most road classes — Neighbourhood Street, Neighbourhood Connector, Civic Boulevard, Urban Thoroughfare, Main Streets, Rural Connector/Thoroughfare, Rapid Transit Boulevards — sit in the City's own "Fair" condition band, with roughly</w:t>
      </w:r>
      <w:r>
        <w:t xml:space="preserve"> </w:t>
      </w:r>
      <w:r>
        <w:rPr>
          <w:b/>
          <w:bCs/>
        </w:rPr>
        <w:t xml:space="preserve">24% of each class in Poor condition</w:t>
      </w:r>
      <w:r>
        <w:t xml:space="preserve"> </w:t>
      </w:r>
      <w:r>
        <w:t xml:space="preserve">requiring near-term rehabilitation. Detail for the two largest classes by lane-km:</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Road class</w:t>
            </w:r>
          </w:p>
        </w:tc>
        <w:tc>
          <w:tcPr/>
          <w:p>
            <w:pPr>
              <w:pStyle w:val="Compact"/>
            </w:pPr>
            <w:r>
              <w:t xml:space="preserve">Very Good</w:t>
            </w:r>
          </w:p>
        </w:tc>
        <w:tc>
          <w:tcPr/>
          <w:p>
            <w:pPr>
              <w:pStyle w:val="Compact"/>
            </w:pPr>
            <w:r>
              <w:t xml:space="preserve">Good</w:t>
            </w:r>
          </w:p>
        </w:tc>
        <w:tc>
          <w:tcPr/>
          <w:p>
            <w:pPr>
              <w:pStyle w:val="Compact"/>
            </w:pPr>
            <w:r>
              <w:t xml:space="preserve">Fair</w:t>
            </w:r>
          </w:p>
        </w:tc>
        <w:tc>
          <w:tcPr/>
          <w:p>
            <w:pPr>
              <w:pStyle w:val="Compact"/>
            </w:pPr>
            <w:r>
              <w:t xml:space="preserve">Poor</w:t>
            </w:r>
          </w:p>
        </w:tc>
      </w:tr>
      <w:tr>
        <w:tc>
          <w:tcPr/>
          <w:p>
            <w:pPr>
              <w:pStyle w:val="Compact"/>
            </w:pPr>
            <w:r>
              <w:t xml:space="preserve">Neighbourhood Street</w:t>
            </w:r>
          </w:p>
        </w:tc>
        <w:tc>
          <w:tcPr/>
          <w:p>
            <w:pPr>
              <w:pStyle w:val="Compact"/>
            </w:pPr>
            <w:r>
              <w:t xml:space="preserve">19%</w:t>
            </w:r>
          </w:p>
        </w:tc>
        <w:tc>
          <w:tcPr/>
          <w:p>
            <w:pPr>
              <w:pStyle w:val="Compact"/>
            </w:pPr>
            <w:r>
              <w:t xml:space="preserve">30%</w:t>
            </w:r>
          </w:p>
        </w:tc>
        <w:tc>
          <w:tcPr/>
          <w:p>
            <w:pPr>
              <w:pStyle w:val="Compact"/>
            </w:pPr>
            <w:r>
              <w:t xml:space="preserve">22%</w:t>
            </w:r>
          </w:p>
        </w:tc>
        <w:tc>
          <w:tcPr/>
          <w:p>
            <w:pPr>
              <w:pStyle w:val="Compact"/>
            </w:pPr>
            <w:r>
              <w:t xml:space="preserve">29%</w:t>
            </w:r>
          </w:p>
        </w:tc>
      </w:tr>
      <w:tr>
        <w:tc>
          <w:tcPr/>
          <w:p>
            <w:pPr>
              <w:pStyle w:val="Compact"/>
            </w:pPr>
            <w:r>
              <w:t xml:space="preserve">Neighbourhood Connector</w:t>
            </w:r>
          </w:p>
        </w:tc>
        <w:tc>
          <w:tcPr/>
          <w:p>
            <w:pPr>
              <w:pStyle w:val="Compact"/>
            </w:pPr>
            <w:r>
              <w:t xml:space="preserve">18%</w:t>
            </w:r>
          </w:p>
        </w:tc>
        <w:tc>
          <w:tcPr/>
          <w:p>
            <w:pPr>
              <w:pStyle w:val="Compact"/>
            </w:pPr>
            <w:r>
              <w:t xml:space="preserve">31%</w:t>
            </w:r>
          </w:p>
        </w:tc>
        <w:tc>
          <w:tcPr/>
          <w:p>
            <w:pPr>
              <w:pStyle w:val="Compact"/>
            </w:pPr>
            <w:r>
              <w:t xml:space="preserve">23%</w:t>
            </w:r>
          </w:p>
        </w:tc>
        <w:tc>
          <w:tcPr/>
          <w:p>
            <w:pPr>
              <w:pStyle w:val="Compact"/>
            </w:pPr>
            <w:r>
              <w:t xml:space="preserve">27%</w:t>
            </w:r>
          </w:p>
        </w:tc>
      </w:tr>
      <w:tr>
        <w:tc>
          <w:tcPr/>
          <w:p>
            <w:pPr>
              <w:pStyle w:val="Compact"/>
            </w:pPr>
            <w:r>
              <w:t xml:space="preserve">Civic Boulevard</w:t>
            </w:r>
          </w:p>
        </w:tc>
        <w:tc>
          <w:tcPr/>
          <w:p>
            <w:pPr>
              <w:pStyle w:val="Compact"/>
            </w:pPr>
            <w:r>
              <w:t xml:space="preserve">23%</w:t>
            </w:r>
          </w:p>
        </w:tc>
        <w:tc>
          <w:tcPr/>
          <w:p>
            <w:pPr>
              <w:pStyle w:val="Compact"/>
            </w:pPr>
            <w:r>
              <w:t xml:space="preserve">31%</w:t>
            </w:r>
          </w:p>
        </w:tc>
        <w:tc>
          <w:tcPr/>
          <w:p>
            <w:pPr>
              <w:pStyle w:val="Compact"/>
            </w:pPr>
            <w:r>
              <w:t xml:space="preserve">31%</w:t>
            </w:r>
          </w:p>
        </w:tc>
        <w:tc>
          <w:tcPr/>
          <w:p>
            <w:pPr>
              <w:pStyle w:val="Compact"/>
            </w:pPr>
            <w:r>
              <w:t xml:space="preserve">14%</w:t>
            </w:r>
          </w:p>
        </w:tc>
      </w:tr>
      <w:tr>
        <w:tc>
          <w:tcPr/>
          <w:p>
            <w:pPr>
              <w:pStyle w:val="Compact"/>
            </w:pPr>
            <w:r>
              <w:t xml:space="preserve">Urban Thoroughfare</w:t>
            </w:r>
          </w:p>
        </w:tc>
        <w:tc>
          <w:tcPr/>
          <w:p>
            <w:pPr>
              <w:pStyle w:val="Compact"/>
            </w:pPr>
            <w:r>
              <w:t xml:space="preserve">23%</w:t>
            </w:r>
          </w:p>
        </w:tc>
        <w:tc>
          <w:tcPr/>
          <w:p>
            <w:pPr>
              <w:pStyle w:val="Compact"/>
            </w:pPr>
            <w:r>
              <w:t xml:space="preserve">39%</w:t>
            </w:r>
          </w:p>
        </w:tc>
        <w:tc>
          <w:tcPr/>
          <w:p>
            <w:pPr>
              <w:pStyle w:val="Compact"/>
            </w:pPr>
            <w:r>
              <w:t xml:space="preserve">27%</w:t>
            </w:r>
          </w:p>
        </w:tc>
        <w:tc>
          <w:tcPr/>
          <w:p>
            <w:pPr>
              <w:pStyle w:val="Compact"/>
            </w:pPr>
            <w:r>
              <w:t xml:space="preserve">10%</w:t>
            </w:r>
          </w:p>
        </w:tc>
      </w:tr>
      <w:tr>
        <w:tc>
          <w:tcPr/>
          <w:p>
            <w:pPr>
              <w:pStyle w:val="Compact"/>
            </w:pPr>
            <w:r>
              <w:t xml:space="preserve">Expressway</w:t>
            </w:r>
          </w:p>
        </w:tc>
        <w:tc>
          <w:tcPr/>
          <w:p>
            <w:pPr>
              <w:pStyle w:val="Compact"/>
            </w:pPr>
            <w:r>
              <w:t xml:space="preserve">74%</w:t>
            </w:r>
          </w:p>
        </w:tc>
        <w:tc>
          <w:tcPr/>
          <w:p>
            <w:pPr>
              <w:pStyle w:val="Compact"/>
            </w:pPr>
            <w:r>
              <w:t xml:space="preserve">11%</w:t>
            </w:r>
          </w:p>
        </w:tc>
        <w:tc>
          <w:tcPr/>
          <w:p>
            <w:pPr>
              <w:pStyle w:val="Compact"/>
            </w:pPr>
            <w:r>
              <w:t xml:space="preserve">15%</w:t>
            </w:r>
          </w:p>
        </w:tc>
        <w:tc>
          <w:tcPr/>
          <w:p>
            <w:pPr>
              <w:pStyle w:val="Compact"/>
            </w:pPr>
            <w:r>
              <w:t xml:space="preserve">—</w:t>
            </w:r>
          </w:p>
        </w:tc>
      </w:tr>
    </w:tbl>
    <w:p>
      <w:pPr>
        <w:pStyle w:val="BodyText"/>
      </w:pPr>
      <w:r>
        <w:t xml:space="preserve">Explicitly named: Highbury Avenue South (between the South Branch of the Thames River and Hwy 401) is rated Fair and flagged for near-term reconstruction given its age and traffic volume — a third, distinct "Highbury" reference (see §15's naming-collision warning) but plausibly the road segment feeding into the RFT-2025-270 award already documented there.</w:t>
      </w:r>
    </w:p>
    <w:p>
      <w:pPr>
        <w:pStyle w:val="BodyText"/>
      </w:pPr>
      <w:r>
        <w:rPr>
          <w:b/>
          <w:bCs/>
        </w:rPr>
        <w:t xml:space="preserve">SOURCE LOCK:</w:t>
      </w:r>
      <w:r>
        <w:t xml:space="preserve"> </w:t>
      </w:r>
      <w:r>
        <w:t xml:space="preserve">SOURCE LOCK City of London, 2023 Corporate Asset Management Plan — §7.1.3 Asset Condition, Figure 7.4 (p.159) and Figure 7.5 (p.162). Dollar-value asset figures shown alongside the road-class table in the source PDF were not transcribed here — the table's column alignment could not be fully verified from the extracted text, and this review does not publish a figure it cannot confirm was read correctly.</w:t>
      </w:r>
    </w:p>
    <w:bookmarkEnd w:id="48"/>
    <w:bookmarkStart w:id="49" w:name="X9891545a30fd04c67798432c6819bc27250f6d1"/>
    <w:p>
      <w:pPr>
        <w:pStyle w:val="Heading3"/>
      </w:pPr>
      <w:r>
        <w:t xml:space="preserve">Parking — a real net revenue generator, not a cost</w:t>
      </w:r>
    </w:p>
    <w:p>
      <w:pPr>
        <w:pStyle w:val="FirstParagraph"/>
      </w:pPr>
      <w:r>
        <w:t xml:space="preserve">Unlike every other service reviewed, Parking's Business Plan shows a</w:t>
      </w:r>
      <w:r>
        <w:t xml:space="preserve"> </w:t>
      </w:r>
      <w:r>
        <w:rPr>
          <w:b/>
          <w:bCs/>
        </w:rPr>
        <w:t xml:space="preserve">negative</w:t>
      </w:r>
      <w:r>
        <w:t xml:space="preserve"> </w:t>
      </w:r>
      <w:r>
        <w:t xml:space="preserve">net tax-levy-supported budget — meaning it brings in more revenue than it costs:</w:t>
      </w:r>
      <w:r>
        <w:t xml:space="preserve"> </w:t>
      </w:r>
      <w:r>
        <w:rPr>
          <w:b/>
          <w:bCs/>
        </w:rPr>
        <w:t xml:space="preserve">-$3.57M (2024) to -$4.37M (2025)</w:t>
      </w:r>
      <w:r>
        <w:t xml:space="preserve">, totalling</w:t>
      </w:r>
      <w:r>
        <w:t xml:space="preserve"> </w:t>
      </w:r>
      <w:r>
        <w:rPr>
          <w:b/>
          <w:bCs/>
        </w:rPr>
        <w:t xml:space="preserve">-$12.29M</w:t>
      </w:r>
      <w:r>
        <w:t xml:space="preserve"> </w:t>
      </w:r>
      <w:r>
        <w:t xml:space="preserve">net over the 2024–2027 term (23.3 FTE). This is the "revenue leakage" item from the original brief inverted — real data showing the opposite of what that framing assumed. The other real revenue-leakage figures this edition has — a $13.5M citywide allowance for uncollectable taxes, and $0 in actual tax write-offs or tax sales in 2025 — are below, sourced from Ontario's own Financial Information Return.</w:t>
      </w:r>
    </w:p>
    <w:p>
      <w:pPr>
        <w:pStyle w:val="BodyText"/>
      </w:pPr>
      <w:r>
        <w:rPr>
          <w:b/>
          <w:bCs/>
        </w:rPr>
        <w:t xml:space="preserve">SOURCE LOCK:</w:t>
      </w:r>
      <w:r>
        <w:t xml:space="preserve"> </w:t>
      </w:r>
      <w:r>
        <w:t xml:space="preserve">SOURCE LOCK City of London, 2024 to 2027 Business Plan — "064 Parking," Budget Summary table, p.2.</w:t>
      </w:r>
    </w:p>
    <w:bookmarkEnd w:id="49"/>
    <w:bookmarkStart w:id="50" w:name="Xacc1fbb1ea7508377c1de4c815a5a07ff75b1e8"/>
    <w:p>
      <w:pPr>
        <w:pStyle w:val="Heading3"/>
      </w:pPr>
      <w:r>
        <w:t xml:space="preserve">Recreation — a real 5-year KPI trend, not just budget and FTE</w:t>
      </w:r>
    </w:p>
    <w:p>
      <w:pPr>
        <w:pStyle w:val="FirstParagraph"/>
      </w:pPr>
      <w:r>
        <w:t xml:space="preserve">Unlike the 92 service Business Plans (budget and FTE only, no outcome measures — confirmed across every service checked in this edition), the</w:t>
      </w:r>
      <w:r>
        <w:t xml:space="preserve"> </w:t>
      </w:r>
      <w:r>
        <w:rPr>
          <w:b/>
          <w:bCs/>
        </w:rPr>
        <w:t xml:space="preserve">Parks and Recreation Master Plan Annual Report</w:t>
      </w:r>
      <w:r>
        <w:t xml:space="preserve"> </w:t>
      </w:r>
      <w:r>
        <w:t xml:space="preserve">is a different, KPI-native document. Its fourth annual edition (Feb 2025) tracks five years of real usage data:</w:t>
      </w:r>
    </w:p>
    <w:p>
      <w:pPr>
        <w:pStyle w:val="TableCaption"/>
      </w:pPr>
      <w:r>
        <w:t xml:space="preserve">Selected 2020–2024 trend, City of London Parks and Recreation Master Plan Annual Report.</w:t>
      </w:r>
    </w:p>
    <w:tbl>
      <w:tblPr>
        <w:tblStyle w:val="Table"/>
        <w:tblW w:type="auto" w:w="0"/>
        <w:tblLook w:firstRow="1" w:lastRow="0" w:firstColumn="0" w:lastColumn="0" w:noHBand="0" w:noVBand="0" w:val="0020"/>
        <w:tblCaption w:val="Selected 2020–2024 trend, City of London Parks and Recreation Master Plan Annual Report."/>
      </w:tblPr>
      <w:tblGrid>
        <w:gridCol w:w="1980"/>
        <w:gridCol w:w="1980"/>
        <w:gridCol w:w="1980"/>
        <w:gridCol w:w="1980"/>
      </w:tblGrid>
      <w:tr>
        <w:trPr>
          <w:tblHeader w:val="on"/>
        </w:trPr>
        <w:tc>
          <w:tcPr/>
          <w:p>
            <w:pPr>
              <w:pStyle w:val="Compact"/>
            </w:pPr>
            <w:r>
              <w:t xml:space="preserve">Metric</w:t>
            </w:r>
          </w:p>
        </w:tc>
        <w:tc>
          <w:tcPr/>
          <w:p>
            <w:pPr>
              <w:pStyle w:val="Compact"/>
            </w:pPr>
            <w:r>
              <w:t xml:space="preserve">2020</w:t>
            </w:r>
          </w:p>
        </w:tc>
        <w:tc>
          <w:tcPr/>
          <w:p>
            <w:pPr>
              <w:pStyle w:val="Compact"/>
            </w:pPr>
            <w:r>
              <w:t xml:space="preserve">2022</w:t>
            </w:r>
          </w:p>
        </w:tc>
        <w:tc>
          <w:tcPr/>
          <w:p>
            <w:pPr>
              <w:pStyle w:val="Compact"/>
            </w:pPr>
            <w:r>
              <w:t xml:space="preserve">2024</w:t>
            </w:r>
          </w:p>
        </w:tc>
      </w:tr>
      <w:tr>
        <w:tc>
          <w:tcPr/>
          <w:p>
            <w:pPr>
              <w:pStyle w:val="Compact"/>
            </w:pPr>
            <w:r>
              <w:t xml:space="preserve">Recreation program participants</w:t>
            </w:r>
          </w:p>
        </w:tc>
        <w:tc>
          <w:tcPr/>
          <w:p>
            <w:pPr>
              <w:pStyle w:val="Compact"/>
            </w:pPr>
            <w:r>
              <w:t xml:space="preserve">23,077</w:t>
            </w:r>
          </w:p>
        </w:tc>
        <w:tc>
          <w:tcPr/>
          <w:p>
            <w:pPr>
              <w:pStyle w:val="Compact"/>
            </w:pPr>
            <w:r>
              <w:t xml:space="preserve">71,028</w:t>
            </w:r>
          </w:p>
        </w:tc>
        <w:tc>
          <w:tcPr/>
          <w:p>
            <w:pPr>
              <w:pStyle w:val="Compact"/>
            </w:pPr>
            <w:r>
              <w:t xml:space="preserve">98,389</w:t>
            </w:r>
          </w:p>
        </w:tc>
      </w:tr>
      <w:tr>
        <w:tc>
          <w:tcPr/>
          <w:p>
            <w:pPr>
              <w:pStyle w:val="Compact"/>
            </w:pPr>
            <w:r>
              <w:t xml:space="preserve">Aquatics total participants</w:t>
            </w:r>
          </w:p>
        </w:tc>
        <w:tc>
          <w:tcPr/>
          <w:p>
            <w:pPr>
              <w:pStyle w:val="Compact"/>
            </w:pPr>
            <w:r>
              <w:t xml:space="preserve">46,813</w:t>
            </w:r>
          </w:p>
        </w:tc>
        <w:tc>
          <w:tcPr/>
          <w:p>
            <w:pPr>
              <w:pStyle w:val="Compact"/>
            </w:pPr>
            <w:r>
              <w:t xml:space="preserve">146,398</w:t>
            </w:r>
          </w:p>
        </w:tc>
        <w:tc>
          <w:tcPr/>
          <w:p>
            <w:pPr>
              <w:pStyle w:val="Compact"/>
            </w:pPr>
            <w:r>
              <w:t xml:space="preserve">206,567</w:t>
            </w:r>
          </w:p>
        </w:tc>
      </w:tr>
      <w:tr>
        <w:tc>
          <w:tcPr/>
          <w:p>
            <w:pPr>
              <w:pStyle w:val="Compact"/>
            </w:pPr>
            <w:r>
              <w:t xml:space="preserve">Sport-field hours allocated</w:t>
            </w:r>
          </w:p>
        </w:tc>
        <w:tc>
          <w:tcPr/>
          <w:p>
            <w:pPr>
              <w:pStyle w:val="Compact"/>
            </w:pPr>
            <w:r>
              <w:t xml:space="preserve">4,083</w:t>
            </w:r>
          </w:p>
        </w:tc>
        <w:tc>
          <w:tcPr/>
          <w:p>
            <w:pPr>
              <w:pStyle w:val="Compact"/>
            </w:pPr>
            <w:r>
              <w:t xml:space="preserve">37,426</w:t>
            </w:r>
          </w:p>
        </w:tc>
        <w:tc>
          <w:tcPr/>
          <w:p>
            <w:pPr>
              <w:pStyle w:val="Compact"/>
            </w:pPr>
            <w:r>
              <w:t xml:space="preserve">43,355</w:t>
            </w:r>
          </w:p>
        </w:tc>
      </w:tr>
      <w:tr>
        <w:tc>
          <w:tcPr/>
          <w:p>
            <w:pPr>
              <w:pStyle w:val="Compact"/>
            </w:pPr>
            <w:r>
              <w:t xml:space="preserve">Rounds of golf played</w:t>
            </w:r>
          </w:p>
        </w:tc>
        <w:tc>
          <w:tcPr/>
          <w:p>
            <w:pPr>
              <w:pStyle w:val="Compact"/>
            </w:pPr>
            <w:r>
              <w:t xml:space="preserve">112,000</w:t>
            </w:r>
          </w:p>
        </w:tc>
        <w:tc>
          <w:tcPr/>
          <w:p>
            <w:pPr>
              <w:pStyle w:val="Compact"/>
            </w:pPr>
            <w:r>
              <w:t xml:space="preserve">111,075</w:t>
            </w:r>
          </w:p>
        </w:tc>
        <w:tc>
          <w:tcPr/>
          <w:p>
            <w:pPr>
              <w:pStyle w:val="Compact"/>
            </w:pPr>
            <w:r>
              <w:t xml:space="preserve">125,122</w:t>
            </w:r>
          </w:p>
        </w:tc>
      </w:tr>
    </w:tbl>
    <w:p>
      <w:pPr>
        <w:pStyle w:val="BodyText"/>
      </w:pPr>
      <w:r>
        <w:t xml:space="preserve">Total visits to all recreation/sport facilities, 2024 3 M+</w:t>
      </w:r>
    </w:p>
    <w:p>
      <w:pPr>
        <w:pStyle w:val="BodyText"/>
      </w:pPr>
      <w:r>
        <w:t xml:space="preserve">Citizen satisfaction — recreation facilities / programs 88 % Golf 85%; staff 94%; communications/admissions 95%</w:t>
      </w:r>
    </w:p>
    <w:p>
      <w:pPr>
        <w:pStyle w:val="BodyText"/>
      </w:pPr>
      <w:r>
        <w:t xml:space="preserve">Storybook Gardens guests, 2024 152,000 +</w:t>
      </w:r>
    </w:p>
    <w:p>
      <w:pPr>
        <w:pStyle w:val="BodyText"/>
      </w:pPr>
      <w:r>
        <w:t xml:space="preserve">Also: 8,866 individuals accessed recreation via the Play Your Way financial-assistance program in 2024; 107 approved Waiving-or-Reducing-of-Fees applications (1,500+ hours of space); 265 km of City pathways/trails. The current Multi-Year Budget carries $125M+ in Parks/Recreation/Neighbourhood capital (~60% growth, ~30% lifecycle, ~10% service improvement).</w:t>
      </w:r>
    </w:p>
    <w:p>
      <w:pPr>
        <w:pStyle w:val="BodyText"/>
      </w:pPr>
      <w:r>
        <w:rPr>
          <w:b/>
          <w:bCs/>
        </w:rPr>
        <w:t xml:space="preserve">SOURCE LOCK:</w:t>
      </w:r>
      <w:r>
        <w:t xml:space="preserve"> </w:t>
      </w:r>
      <w:r>
        <w:t xml:space="preserve">SOURCE LOCK City of London, Parks and Recreation Master Plan Annual Report , Report to Community and Protective Services Committee, February 18, 2025 (pub-london.escribemeetings.com, DocumentId=115487) — full 8-page report retrieved and read; §2.3 KPIs, §2.5 accomplishments, §3.0 financial impact.</w:t>
      </w:r>
    </w:p>
    <w:p>
      <w:pPr>
        <w:pStyle w:val="BodyText"/>
      </w:pPr>
      <w:r>
        <w:rPr>
          <w:b/>
          <w:bCs/>
        </w:rPr>
        <w:t xml:space="preserve">Why this one's different:</w:t>
      </w:r>
      <w:r>
        <w:t xml:space="preserve"> </w:t>
      </w:r>
      <w:r>
        <w:t xml:space="preserve">Why this one's different Every other service-performance figure in this edition came from a standalone regulatory or master-plan report, never a Business Plan. This is the strongest confirmation of that pattern yet — and the strongest single service-performance dataset in the whole edition, with five years of real trend data across four sub-services plus a real satisfaction survey.</w:t>
      </w:r>
    </w:p>
    <w:bookmarkEnd w:id="50"/>
    <w:bookmarkStart w:id="51" w:name="X02a6bb8e95d1a1e36f9edf403e8071f6ab8667e"/>
    <w:p>
      <w:pPr>
        <w:pStyle w:val="Heading3"/>
      </w:pPr>
      <w:r>
        <w:t xml:space="preserve">Legal Services — a real threshold, and a data mix-up caught before publication</w:t>
      </w:r>
    </w:p>
    <w:p>
      <w:pPr>
        <w:pStyle w:val="FirstParagraph"/>
      </w:pPr>
      <w:r>
        <w:t xml:space="preserve">City Council Policy CPOL.-77(b)-245 confirms:</w:t>
      </w:r>
      <w:r>
        <w:t xml:space="preserve"> </w:t>
      </w:r>
      <w:r>
        <w:rPr>
          <w:b/>
          <w:bCs/>
        </w:rPr>
        <w:t xml:space="preserve">the City Solicitor may settle any claim or demand up to $50,000</w:t>
      </w:r>
      <w:r>
        <w:t xml:space="preserve"> </w:t>
      </w:r>
      <w:r>
        <w:t xml:space="preserve">(exclusive of costs) without further Council approval, after obtaining advice from affected departments (§4.5). Above that threshold, Council approval or another authorization route applies.</w:t>
      </w:r>
    </w:p>
    <w:p>
      <w:pPr>
        <w:pStyle w:val="BodyText"/>
      </w:pPr>
      <w:r>
        <w:rPr>
          <w:b/>
          <w:bCs/>
        </w:rPr>
        <w:t xml:space="preserve">SOURCE LOCK:</w:t>
      </w:r>
      <w:r>
        <w:t xml:space="preserve"> </w:t>
      </w:r>
      <w:r>
        <w:t xml:space="preserve">SOURCE LOCK City of London Council Policy CPOL.-77(b)-245, "Legal Services and Accounts," §4.5, london.ca/council-policies.</w:t>
      </w:r>
    </w:p>
    <w:p>
      <w:pPr>
        <w:pStyle w:val="BodyText"/>
      </w:pPr>
      <w:r>
        <w:rPr>
          <w:b/>
          <w:bCs/>
        </w:rPr>
        <w:t xml:space="preserve">A caught error, disclosed rather than hidden:</w:t>
      </w:r>
      <w:r>
        <w:t xml:space="preserve"> </w:t>
      </w:r>
      <w:r>
        <w:t xml:space="preserve">A caught error, disclosed rather than hidden A search for London's actual claims volume and settlement totals returned a document titled as a City of London report but hosted at pub-ottawa.escribemeetings.com — Ottawa's meeting-document domain, not London's ( pub-london.escribemeetings.com , used throughout this edition). The specific figures it carried (outstanding proceedings, claims closed, settlement types, pothole-claim share) were Ottawa's, not London's, and are not used anywhere in this edition . London's actual claims volume, settlement totals and litigation categories remain genuinely not found — a real gap, not a filled one.</w:t>
      </w:r>
    </w:p>
    <w:bookmarkEnd w:id="51"/>
    <w:bookmarkStart w:id="52" w:name="Xa6907ff0cfaf2c957d6f8d0ab3a3a32fd2a6170"/>
    <w:p>
      <w:pPr>
        <w:pStyle w:val="Heading3"/>
      </w:pPr>
      <w:r>
        <w:t xml:space="preserve">Legal, Risk and revenue leakage — closed this pass, from Ontario's own municipal filing</w:t>
      </w:r>
    </w:p>
    <w:p>
      <w:pPr>
        <w:pStyle w:val="FirstParagraph"/>
      </w:pPr>
      <w:r>
        <w:t xml:space="preserve">§12 already used the City's</w:t>
      </w:r>
      <w:r>
        <w:t xml:space="preserve"> </w:t>
      </w:r>
      <w:r>
        <w:rPr>
          <w:i/>
          <w:iCs/>
        </w:rPr>
        <w:t xml:space="preserve">Financial Information Return</w:t>
      </w:r>
      <w:r>
        <w:t xml:space="preserve"> </w:t>
      </w:r>
      <w:r>
        <w:t xml:space="preserve">(FIR) for workforce data; the same 47-schedule filing also carries real, dollar-quantified answers to two of this edition's longest-standing gaps. Neither gives a claims-by-claim</w:t>
      </w:r>
      <w:r>
        <w:t xml:space="preserve"> </w:t>
      </w:r>
      <w:r>
        <w:rPr>
          <w:i/>
          <w:iCs/>
        </w:rPr>
        <w:t xml:space="preserve">volume</w:t>
      </w:r>
      <w:r>
        <w:t xml:space="preserve"> </w:t>
      </w:r>
      <w:r>
        <w:t xml:space="preserve">— but both give a genuine, official, city-wide dollar scale that "not found" no longer accurately describes.</w:t>
      </w:r>
    </w:p>
    <w:p>
      <w:pPr>
        <w:pStyle w:val="BodyText"/>
      </w:pPr>
      <w:r>
        <w:t xml:space="preserve">Accrued WSIB (workplace injury) claims liability $78.3 M Schedule 70, Post Employment Benefits — the single largest disclosed insurable-risk figure found this pass</w:t>
      </w:r>
    </w:p>
    <w:p>
      <w:pPr>
        <w:pStyle w:val="BodyText"/>
      </w:pPr>
      <w:r>
        <w:t xml:space="preserve">Pending or threatened litigation, disclosed contingent liability $0 nil Schedule 74C — see caveat below</w:t>
      </w:r>
    </w:p>
    <w:p>
      <w:pPr>
        <w:pStyle w:val="BodyText"/>
      </w:pPr>
      <w:r>
        <w:t xml:space="preserve">Allowance for uncollectable taxes, 2025 $13.5 M Schedule 70 — against $47.6M gross taxes receivable across 3 levy years</w:t>
      </w:r>
    </w:p>
    <w:p>
      <w:pPr>
        <w:pStyle w:val="BodyText"/>
      </w:pPr>
      <w:r>
        <w:t xml:space="preserve">On tax collection specifically, Schedule 72B ("Continuity of Taxes Receivable") reports</w:t>
      </w:r>
      <w:r>
        <w:t xml:space="preserve"> </w:t>
      </w:r>
      <w:r>
        <w:rPr>
          <w:b/>
          <w:bCs/>
        </w:rPr>
        <w:t xml:space="preserve">$0 in formal tax write-offs</w:t>
      </w:r>
      <w:r>
        <w:t xml:space="preserve"> </w:t>
      </w:r>
      <w:r>
        <w:t xml:space="preserve">(Municipal Act s.354) and</w:t>
      </w:r>
      <w:r>
        <w:t xml:space="preserve"> </w:t>
      </w:r>
      <w:r>
        <w:rPr>
          <w:b/>
          <w:bCs/>
        </w:rPr>
        <w:t xml:space="preserve">$0 in Tax Sale / Tax Registration Account</w:t>
      </w:r>
      <w:r>
        <w:t xml:space="preserve"> </w:t>
      </w:r>
      <w:r>
        <w:t xml:space="preserve">activity for 2025 — the City neither wrote off nor sold-for-arrears a single property's taxes this year, carrying the $13.5M allowance above as a provision instead of realizing any of it. A separate $15.3M "Tax registrations" balance appears as a receivable-side asset (Schedule 70), representing properties somewhere in the registration process without yet reaching write-off or sale.</w:t>
      </w:r>
    </w:p>
    <w:p>
      <w:pPr>
        <w:pStyle w:val="BodyText"/>
      </w:pPr>
      <w:r>
        <w:rPr>
          <w:b/>
          <w:bCs/>
        </w:rPr>
        <w:t xml:space="preserve">SOURCE LOCK:</w:t>
      </w:r>
      <w:r>
        <w:t xml:space="preserve"> </w:t>
      </w:r>
      <w:r>
        <w:t xml:space="preserve">SOURCE LOCK Province of Ontario, Ministry of Municipal Affairs and Housing, 2025 Financial Information Return for "London C," Schedules 70 (Consolidated Statement of Financial Position), 72B (Continuity of Taxes Receivable) and 74C (Long Term Liabilities and Commitments) — efis.fma.csc.gov.on.ca.</w:t>
      </w:r>
    </w:p>
    <w:p>
      <w:pPr>
        <w:pStyle w:val="BodyText"/>
      </w:pPr>
      <w:r>
        <w:rPr>
          <w:b/>
          <w:bCs/>
        </w:rPr>
        <w:t xml:space="preserve">The $0 litigation figure needs a caveat, not blind trust:</w:t>
      </w:r>
      <w:r>
        <w:t xml:space="preserve"> </w:t>
      </w:r>
      <w:r>
        <w:t xml:space="preserve">The $0 litigation figure needs a caveat, not blind trust A $0 "Pending or Threatened Litigation" contingent liability is the City's own official filing, but FIR contingent-liability lines are commonly left at nil when a value is individually immaterial or genuinely unknown, not necessarily because zero claims exist — especially alongside CPOL.-77(b)-245's own $50,000 settlement-without-Council-approval threshold above, which implies routine claims activity the FIR line isn't designed to capture. Read as "the City disclosed no material aggregate litigation exposure," not as "the City has no active lawsuits."</w:t>
      </w:r>
    </w:p>
    <w:bookmarkEnd w:id="52"/>
    <w:bookmarkStart w:id="53" w:name="Xec793cfb861faffd717b783729a4bd06ef83a70"/>
    <w:p>
      <w:pPr>
        <w:pStyle w:val="Heading3"/>
      </w:pPr>
      <w:r>
        <w:t xml:space="preserve">Real estate portfolio — a real aggregate value, from the audited statements</w:t>
      </w:r>
    </w:p>
    <w:p>
      <w:pPr>
        <w:pStyle w:val="FirstParagraph"/>
      </w:pPr>
      <w:r>
        <w:t xml:space="preserve">Real, named City policies govern this area —</w:t>
      </w:r>
      <w:r>
        <w:t xml:space="preserve"> </w:t>
      </w:r>
      <w:r>
        <w:rPr>
          <w:i/>
          <w:iCs/>
        </w:rPr>
        <w:t xml:space="preserve">Sale and Other Disposition of Land</w:t>
      </w:r>
      <w:r>
        <w:t xml:space="preserve">,</w:t>
      </w:r>
      <w:r>
        <w:t xml:space="preserve"> </w:t>
      </w:r>
      <w:r>
        <w:rPr>
          <w:i/>
          <w:iCs/>
        </w:rPr>
        <w:t xml:space="preserve">Leasing and Licencing of City-Owned Land</w:t>
      </w:r>
      <w:r>
        <w:t xml:space="preserve">,</w:t>
      </w:r>
      <w:r>
        <w:t xml:space="preserve"> </w:t>
      </w:r>
      <w:r>
        <w:rPr>
          <w:i/>
          <w:iCs/>
        </w:rPr>
        <w:t xml:space="preserve">City-Owned Residential Properties</w:t>
      </w:r>
      <w:r>
        <w:t xml:space="preserve">,</w:t>
      </w:r>
      <w:r>
        <w:t xml:space="preserve"> </w:t>
      </w:r>
      <w:r>
        <w:rPr>
          <w:i/>
          <w:iCs/>
        </w:rPr>
        <w:t xml:space="preserve">Property for Capital Works Projects</w:t>
      </w:r>
      <w:r>
        <w:t xml:space="preserve"> </w:t>
      </w:r>
      <w:r>
        <w:t xml:space="preserve">— but no public inventory report giving square footage, address-level detail, vacancy or per-property carrying cost was located this pass. What the audited Consolidated Financial Statements (already used in §11) do give, from Note 14, is the real aggregate:</w:t>
      </w:r>
    </w:p>
    <w:p>
      <w:pPr>
        <w:pStyle w:val="BodyText"/>
      </w:pPr>
      <w:r>
        <w:t xml:space="preserve">Land, net book value, 2024 $557.1 M up from $524.9M in 2023 — $34.0M in net additions</w:t>
      </w:r>
    </w:p>
    <w:p>
      <w:pPr>
        <w:pStyle w:val="BodyText"/>
      </w:pPr>
      <w:r>
        <w:t xml:space="preserve">Buildings and building improvements, net book value, 2024 $612.0 M up from $569.5M in 2023</w:t>
      </w:r>
    </w:p>
    <w:p>
      <w:pPr>
        <w:pStyle w:val="BodyText"/>
      </w:pPr>
      <w:r>
        <w:rPr>
          <w:b/>
          <w:bCs/>
        </w:rPr>
        <w:t xml:space="preserve">SOURCE LOCK:</w:t>
      </w:r>
      <w:r>
        <w:t xml:space="preserve"> </w:t>
      </w:r>
      <w:r>
        <w:t xml:space="preserve">SOURCE LOCK City of London, 2024 Consolidated Financial Statements , Note 14 "Tangible Capital Assets," p.58.</w:t>
      </w:r>
    </w:p>
    <w:p>
      <w:pPr>
        <w:pStyle w:val="BodyText"/>
      </w:pPr>
      <w:r>
        <w:rPr>
          <w:b/>
          <w:bCs/>
        </w:rPr>
        <w:t xml:space="preserve">Caveat:</w:t>
      </w:r>
      <w:r>
        <w:t xml:space="preserve"> </w:t>
      </w:r>
      <w:r>
        <w:t xml:space="preserve">Caveat Net book value is historical cost less amortization — not current market value, and not address-level. It's a real, audited aggregate; it is not the itemized inventory a full real estate module would need.</w:t>
      </w:r>
    </w:p>
    <w:bookmarkEnd w:id="53"/>
    <w:bookmarkStart w:id="54" w:name="X5dd6fbab4859a57debc821a65aa8543a441dd4b"/>
    <w:p>
      <w:pPr>
        <w:pStyle w:val="Heading3"/>
      </w:pPr>
      <w:r>
        <w:t xml:space="preserve">Fleet and IT — real condition data, from the same Asset Management Plan that gave §5 and §10 their Roads/Water/Wastewater figures</w:t>
      </w:r>
    </w:p>
    <w:p>
      <w:pPr>
        <w:pStyle w:val="FirstParagraph"/>
      </w:pPr>
      <w:r>
        <w:t xml:space="preserve">Fleet assets in Fair-to-Very-Good condition 87 % 1,361 vehicles/equipment, $70.9M replacement value; 10-yr maintain-current gap: none identified</w:t>
      </w:r>
    </w:p>
    <w:p>
      <w:pPr>
        <w:pStyle w:val="BodyText"/>
      </w:pPr>
      <w:r>
        <w:t xml:space="preserve">ITS assets, replacement value $39.7 M 2,700 desktops/laptops, 1,850 cellphones, 10km fibre; 10-yr gap: none identified (both scenarios)</w:t>
      </w:r>
    </w:p>
    <w:p>
      <w:pPr>
        <w:pStyle w:val="BodyText"/>
      </w:pPr>
      <w:r>
        <w:t xml:space="preserve">Fleet age detail: Light Vehicles average 7 years old against a 5-year expected life; Heavy Equipment (Off Road) 13 years against 7 expected — several categories are running past their nominal replacement age but the Plan reports no funding gap to address it. ITS age detail: the Fibre Network averages 14 years against a 25-year expected life (well within lifecycle); phone systems 3 years against 7 expected.</w:t>
      </w:r>
    </w:p>
    <w:p>
      <w:pPr>
        <w:pStyle w:val="BodyText"/>
      </w:pPr>
      <w:r>
        <w:rPr>
          <w:b/>
          <w:bCs/>
        </w:rPr>
        <w:t xml:space="preserve">SOURCE LOCK:</w:t>
      </w:r>
      <w:r>
        <w:t xml:space="preserve"> </w:t>
      </w:r>
      <w:r>
        <w:t xml:space="preserve">SOURCE LOCK City of London, 2023 Corporate Asset Management Plan — §10 Fleet (Table 10.1 p.211, Figure 10.1 p.212, Figure 10.2 p.213) and §11 Information Technology Service (Table 11.1 p.232, Figure 11.1 p.234).</w:t>
      </w:r>
    </w:p>
    <w:bookmarkEnd w:id="54"/>
    <w:bookmarkStart w:id="55" w:name="Xaa7a3374cead111c526ef67b2aedbe721a36e16"/>
    <w:p>
      <w:pPr>
        <w:pStyle w:val="Heading3"/>
      </w:pPr>
      <w:r>
        <w:t xml:space="preserve">Nine more services — real scale, not yet performance data</w:t>
      </w:r>
    </w:p>
    <w:p>
      <w:pPr>
        <w:pStyle w:val="FirstParagraph"/>
      </w:pPr>
      <w:r>
        <w:t xml:space="preserve">Business Plans confirm budget/FTE scale for services this edition hadn't touched, though none contain performance KPIs beyond what's reported above: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w:t>
            </w:r>
          </w:p>
        </w:tc>
        <w:tc>
          <w:tcPr/>
          <w:p>
            <w:pPr>
              <w:pStyle w:val="Compact"/>
            </w:pPr>
            <w:r>
              <w:t xml:space="preserve">2024 FTE</w:t>
            </w:r>
          </w:p>
        </w:tc>
        <w:tc>
          <w:tcPr/>
          <w:p>
            <w:pPr>
              <w:pStyle w:val="Compact"/>
            </w:pPr>
            <w:r>
              <w:t xml:space="preserve">2024–27 net budget</w:t>
            </w:r>
          </w:p>
        </w:tc>
        <w:tc>
          <w:tcPr/>
          <w:p>
            <w:pPr>
              <w:pStyle w:val="Compact"/>
            </w:pPr>
            <w:r>
              <w:t xml:space="preserve">Notable</w:t>
            </w:r>
          </w:p>
        </w:tc>
      </w:tr>
      <w:tr>
        <w:tc>
          <w:tcPr/>
          <w:p>
            <w:pPr>
              <w:pStyle w:val="Compact"/>
            </w:pPr>
            <w:r>
              <w:t xml:space="preserve">Fleet Services</w:t>
            </w:r>
          </w:p>
        </w:tc>
        <w:tc>
          <w:tcPr/>
          <w:p>
            <w:pPr>
              <w:pStyle w:val="Compact"/>
            </w:pPr>
            <w:r>
              <w:t xml:space="preserve">54.2</w:t>
            </w:r>
          </w:p>
        </w:tc>
        <w:tc>
          <w:tcPr/>
          <w:p>
            <w:pPr>
              <w:pStyle w:val="Compact"/>
            </w:pPr>
            <w:r>
              <w:t xml:space="preserve">$0 (full cost recovery)</w:t>
            </w:r>
          </w:p>
        </w:tc>
        <w:tc>
          <w:tcPr/>
          <w:p>
            <w:pPr>
              <w:pStyle w:val="Compact"/>
            </w:pPr>
            <w:r>
              <w:t xml:space="preserve">Manages 1,378+ City-owned vehicles/equipment (excl. Police/Fire/Transit); $35.6M capital 2024–27</w:t>
            </w:r>
          </w:p>
        </w:tc>
      </w:tr>
      <w:tr>
        <w:tc>
          <w:tcPr/>
          <w:p>
            <w:pPr>
              <w:pStyle w:val="Compact"/>
            </w:pPr>
            <w:r>
              <w:t xml:space="preserve">Information Technology Services</w:t>
            </w:r>
          </w:p>
        </w:tc>
        <w:tc>
          <w:tcPr/>
          <w:p>
            <w:pPr>
              <w:pStyle w:val="Compact"/>
            </w:pPr>
            <w:r>
              <w:t xml:space="preserve">105.7</w:t>
            </w:r>
          </w:p>
        </w:tc>
        <w:tc>
          <w:tcPr/>
          <w:p>
            <w:pPr>
              <w:pStyle w:val="Compact"/>
            </w:pPr>
            <w:r>
              <w:t xml:space="preserve">$101.1M</w:t>
            </w:r>
          </w:p>
        </w:tc>
        <w:tc>
          <w:tcPr/>
          <w:p>
            <w:pPr>
              <w:pStyle w:val="Compact"/>
            </w:pPr>
            <w:r>
              <w:t xml:space="preserve">Serves ~100 City services + 15+ Boards/Commissions/Agencies</w:t>
            </w:r>
          </w:p>
        </w:tc>
      </w:tr>
      <w:tr>
        <w:tc>
          <w:tcPr/>
          <w:p>
            <w:pPr>
              <w:pStyle w:val="Compact"/>
            </w:pPr>
            <w:r>
              <w:t xml:space="preserve">Legal Services</w:t>
            </w:r>
          </w:p>
        </w:tc>
        <w:tc>
          <w:tcPr/>
          <w:p>
            <w:pPr>
              <w:pStyle w:val="Compact"/>
            </w:pPr>
            <w:r>
              <w:t xml:space="preserve">22.0</w:t>
            </w:r>
          </w:p>
        </w:tc>
        <w:tc>
          <w:tcPr/>
          <w:p>
            <w:pPr>
              <w:pStyle w:val="Compact"/>
            </w:pPr>
            <w:r>
              <w:t xml:space="preserve">$15.2M</w:t>
            </w:r>
          </w:p>
        </w:tc>
        <w:tc>
          <w:tcPr/>
          <w:p>
            <w:pPr>
              <w:pStyle w:val="Compact"/>
            </w:pPr>
            <w:r>
              <w:t xml:space="preserve">In-house counsel and litigation</w:t>
            </w:r>
          </w:p>
        </w:tc>
      </w:tr>
      <w:tr>
        <w:tc>
          <w:tcPr/>
          <w:p>
            <w:pPr>
              <w:pStyle w:val="Compact"/>
            </w:pPr>
            <w:r>
              <w:t xml:space="preserve">Risk Management</w:t>
            </w:r>
          </w:p>
        </w:tc>
        <w:tc>
          <w:tcPr/>
          <w:p>
            <w:pPr>
              <w:pStyle w:val="Compact"/>
            </w:pPr>
            <w:r>
              <w:t xml:space="preserve">4.0</w:t>
            </w:r>
          </w:p>
        </w:tc>
        <w:tc>
          <w:tcPr/>
          <w:p>
            <w:pPr>
              <w:pStyle w:val="Compact"/>
            </w:pPr>
            <w:r>
              <w:t xml:space="preserve">$1.7M</w:t>
            </w:r>
          </w:p>
        </w:tc>
        <w:tc>
          <w:tcPr/>
          <w:p>
            <w:pPr>
              <w:pStyle w:val="Compact"/>
            </w:pPr>
            <w:r>
              <w:t xml:space="preserve">Insurable-risk evaluation, claims management (see §11's self-insurance reserve)</w:t>
            </w:r>
          </w:p>
        </w:tc>
      </w:tr>
      <w:tr>
        <w:tc>
          <w:tcPr/>
          <w:p>
            <w:pPr>
              <w:pStyle w:val="Compact"/>
            </w:pPr>
            <w:r>
              <w:t xml:space="preserve">Realty Services</w:t>
            </w:r>
          </w:p>
        </w:tc>
        <w:tc>
          <w:tcPr/>
          <w:p>
            <w:pPr>
              <w:pStyle w:val="Compact"/>
            </w:pPr>
            <w:r>
              <w:t xml:space="preserve">12.0</w:t>
            </w:r>
          </w:p>
        </w:tc>
        <w:tc>
          <w:tcPr/>
          <w:p>
            <w:pPr>
              <w:pStyle w:val="Compact"/>
            </w:pPr>
            <w:r>
              <w:t xml:space="preserve">$3.1M</w:t>
            </w:r>
          </w:p>
        </w:tc>
        <w:tc>
          <w:tcPr/>
          <w:p>
            <w:pPr>
              <w:pStyle w:val="Compact"/>
            </w:pPr>
            <w:r>
              <w:t xml:space="preserve">Property acquisition, industrial land sales, lease administration</w:t>
            </w:r>
          </w:p>
        </w:tc>
      </w:tr>
      <w:tr>
        <w:tc>
          <w:tcPr/>
          <w:p>
            <w:pPr>
              <w:pStyle w:val="Compact"/>
            </w:pPr>
            <w:r>
              <w:t xml:space="preserve">Economic Development</w:t>
            </w:r>
          </w:p>
        </w:tc>
        <w:tc>
          <w:tcPr/>
          <w:p>
            <w:pPr>
              <w:pStyle w:val="Compact"/>
            </w:pPr>
            <w:r>
              <w:t xml:space="preserve">9.1</w:t>
            </w:r>
          </w:p>
        </w:tc>
        <w:tc>
          <w:tcPr/>
          <w:p>
            <w:pPr>
              <w:pStyle w:val="Compact"/>
            </w:pPr>
            <w:r>
              <w:t xml:space="preserve">$31.6M + $45.0M capital</w:t>
            </w:r>
          </w:p>
        </w:tc>
        <w:tc>
          <w:tcPr/>
          <w:p>
            <w:pPr>
              <w:pStyle w:val="Compact"/>
            </w:pPr>
            <w:r>
              <w:t xml:space="preserve">City-side budget only — see the real LEDC outcome data below</w:t>
            </w:r>
          </w:p>
        </w:tc>
      </w:tr>
      <w:tr>
        <w:tc>
          <w:tcPr/>
          <w:p>
            <w:pPr>
              <w:pStyle w:val="Compact"/>
            </w:pPr>
            <w:r>
              <w:t xml:space="preserve">Roadway Planning &amp; Design</w:t>
            </w:r>
          </w:p>
        </w:tc>
        <w:tc>
          <w:tcPr/>
          <w:p>
            <w:pPr>
              <w:pStyle w:val="Compact"/>
            </w:pPr>
            <w:r>
              <w:t xml:space="preserve">42.5</w:t>
            </w:r>
          </w:p>
        </w:tc>
        <w:tc>
          <w:tcPr/>
          <w:p>
            <w:pPr>
              <w:pStyle w:val="Compact"/>
            </w:pPr>
            <w:r>
              <w:t xml:space="preserve">$18.3M + $391.3M capital</w:t>
            </w:r>
          </w:p>
        </w:tc>
        <w:tc>
          <w:tcPr/>
          <w:p>
            <w:pPr>
              <w:pStyle w:val="Compact"/>
            </w:pPr>
            <w:r>
              <w:t xml:space="preserve">Where most road capital projects (§3, §15) originate</w:t>
            </w:r>
          </w:p>
        </w:tc>
      </w:tr>
      <w:tr>
        <w:tc>
          <w:tcPr/>
          <w:p>
            <w:pPr>
              <w:pStyle w:val="Compact"/>
            </w:pPr>
            <w:r>
              <w:t xml:space="preserve">Parks and Horticulture</w:t>
            </w:r>
          </w:p>
        </w:tc>
        <w:tc>
          <w:tcPr/>
          <w:p>
            <w:pPr>
              <w:pStyle w:val="Compact"/>
            </w:pPr>
            <w:r>
              <w:t xml:space="preserve">85.2 → 98.6</w:t>
            </w:r>
          </w:p>
        </w:tc>
        <w:tc>
          <w:tcPr/>
          <w:p>
            <w:pPr>
              <w:pStyle w:val="Compact"/>
            </w:pPr>
            <w:r>
              <w:t xml:space="preserve">$44.6M</w:t>
            </w:r>
          </w:p>
        </w:tc>
        <w:tc>
          <w:tcPr/>
          <w:p>
            <w:pPr>
              <w:pStyle w:val="Compact"/>
            </w:pPr>
            <w:r>
              <w:t xml:space="preserve">FTE growing across the 4-year term</w:t>
            </w:r>
          </w:p>
        </w:tc>
      </w:tr>
      <w:tr>
        <w:tc>
          <w:tcPr/>
          <w:p>
            <w:pPr>
              <w:pStyle w:val="Compact"/>
            </w:pPr>
            <w:r>
              <w:t xml:space="preserve">Taxation</w:t>
            </w:r>
          </w:p>
        </w:tc>
        <w:tc>
          <w:tcPr/>
          <w:p>
            <w:pPr>
              <w:pStyle w:val="Compact"/>
            </w:pPr>
            <w:r>
              <w:t xml:space="preserve">not extracted</w:t>
            </w:r>
          </w:p>
        </w:tc>
        <w:tc>
          <w:tcPr/>
          <w:p>
            <w:pPr>
              <w:pStyle w:val="Compact"/>
            </w:pPr>
            <w:r>
              <w:t xml:space="preserve">—</w:t>
            </w:r>
          </w:p>
        </w:tc>
        <w:tc>
          <w:tcPr/>
          <w:p>
            <w:pPr>
              <w:pStyle w:val="Compact"/>
            </w:pPr>
            <w:r>
              <w:t xml:space="preserve">Administers the City's largest single revenue source</w:t>
            </w:r>
          </w:p>
        </w:tc>
      </w:tr>
    </w:tbl>
    <w:bookmarkEnd w:id="55"/>
    <w:bookmarkStart w:id="56" w:name="X8ede46107a99a6c942e46f793b1083ba17b4b08"/>
    <w:p>
      <w:pPr>
        <w:pStyle w:val="Heading3"/>
      </w:pPr>
      <w:r>
        <w:t xml:space="preserve">Economic Development — LEDC's own real outcome data</w:t>
      </w:r>
    </w:p>
    <w:p>
      <w:pPr>
        <w:pStyle w:val="FirstParagraph"/>
      </w:pPr>
      <w:r>
        <w:t xml:space="preserve">The City's Business Plan budget above is only administrative overhead. Business attraction itself is run by</w:t>
      </w:r>
      <w:r>
        <w:t xml:space="preserve"> </w:t>
      </w:r>
      <w:r>
        <w:rPr>
          <w:b/>
          <w:bCs/>
        </w:rPr>
        <w:t xml:space="preserve">London Economic Development Corporation (LEDC)</w:t>
      </w:r>
      <w:r>
        <w:t xml:space="preserve">, an arm's-length entity that publishes its own real activity metrics:</w:t>
      </w:r>
    </w:p>
    <w:p>
      <w:pPr>
        <w:pStyle w:val="BodyText"/>
      </w:pPr>
      <w:r>
        <w:t xml:space="preserve">Jobs added, 2024 1,100 down from 2,500 in 2023</w:t>
      </w:r>
    </w:p>
    <w:p>
      <w:pPr>
        <w:pStyle w:val="BodyText"/>
      </w:pPr>
      <w:r>
        <w:t xml:space="preserve">Investment attracted, 2024 $190 M</w:t>
      </w:r>
    </w:p>
    <w:p>
      <w:pPr>
        <w:pStyle w:val="BodyText"/>
      </w:pPr>
      <w:r>
        <w:t xml:space="preserve">Annual property-tax revenue generated by facilitated investment $27 M+</w:t>
      </w:r>
    </w:p>
    <w:p>
      <w:pPr>
        <w:pStyle w:val="BodyText"/>
      </w:pPr>
      <w:r>
        <w:t xml:space="preserve">Companies assisted, 2024 530 1,875 referrals; 15 active attraction files, 15 expansion files (233 jobs retained)</w:t>
      </w:r>
    </w:p>
    <w:p>
      <w:pPr>
        <w:pStyle w:val="BodyText"/>
      </w:pPr>
      <w:r>
        <w:t xml:space="preserve">Cumulative since inception 28,000+ jobs · $3.2B+ investment</w:t>
      </w:r>
    </w:p>
    <w:p>
      <w:pPr>
        <w:pStyle w:val="BodyText"/>
      </w:pPr>
      <w:r>
        <w:rPr>
          <w:b/>
          <w:bCs/>
        </w:rPr>
        <w:t xml:space="preserve">SOURCE LOCK:</w:t>
      </w:r>
      <w:r>
        <w:t xml:space="preserve"> </w:t>
      </w:r>
      <w:r>
        <w:t xml:space="preserve">SOURCE LOCK London Economic Development Corporation, LEDC Activity Update 2024 , activityupdate.ca/ledc-impact-2024/ — confirmed as LEDC's own official platform (footer-branded, linked from ledc.com), retrieved 2026-08-20.</w:t>
      </w:r>
    </w:p>
    <w:p>
      <w:pPr>
        <w:pStyle w:val="BodyText"/>
      </w:pPr>
      <w:r>
        <w:rPr>
          <w:b/>
          <w:bCs/>
        </w:rPr>
        <w:t xml:space="preserve">Worth a follow-up question, not an allegation:</w:t>
      </w:r>
      <w:r>
        <w:t xml:space="preserve"> </w:t>
      </w:r>
      <w:r>
        <w:t xml:space="preserve">Worth a follow-up question, not an allegation Jobs added fell from 2,500 (2023) to 1,100 (2024) — a real, LEDC-disclosed year-over-year decline of more than half, alongside a City service budget ($31.6M net + $45M capital over the same 2024-27 term) that isn't scaled to that decline. This is exactly the kind of real, sourced number worth asking about directly — not evidence of anything improper on its own.</w:t>
      </w:r>
    </w:p>
    <w:p>
      <w:pPr>
        <w:pStyle w:val="BodyText"/>
      </w:pPr>
      <w:r>
        <w:rPr>
          <w:b/>
          <w:bCs/>
        </w:rPr>
        <w:t xml:space="preserve">SOURCE LOCK:</w:t>
      </w:r>
      <w:r>
        <w:t xml:space="preserve"> </w:t>
      </w:r>
      <w:r>
        <w:t xml:space="preserve">SOURCE LOCK City of London, 2024 to 2027 Business Plans — "036 Fleet Services," "049 ITS," "051 Legal Services," "073 Risk Mgmt," "071 Realty Services," "027 Economic Development," "075 Roadway Planning Design," "065 Parks and Horticulture," "084 Taxation."</w:t>
      </w:r>
    </w:p>
    <w:bookmarkEnd w:id="56"/>
    <w:bookmarkEnd w:id="57"/>
    <w:bookmarkStart w:id="66" w:name="community-improvement-plan-approvals"/>
    <w:p>
      <w:pPr>
        <w:pStyle w:val="Heading2"/>
      </w:pPr>
      <w:r>
        <w:t xml:space="preserve">Community Improvement Plan approvals</w:t>
      </w:r>
    </w:p>
    <w:p>
      <w:pPr>
        <w:pStyle w:val="FirstParagraph"/>
      </w:pPr>
      <w:r>
        <w:t xml:space="preserve">2 verified</w:t>
      </w:r>
      <w:r>
        <w:t xml:space="preserve"> </w:t>
      </w:r>
      <w:r>
        <w:t xml:space="preserve">Not a complete ledger</w:t>
      </w:r>
    </w:p>
    <w:p>
      <w:pPr>
        <w:pStyle w:val="BodyText"/>
      </w:pPr>
      <w:r>
        <w:t xml:space="preserve">Edition 2.0 removed all CIP recipient figures because extraction and payment-status evidence hadn't been reproduced. Two individual approvals below are now verified against specific council/committee minutes, each with a direct quote. This is a two-row sample, not a beneficiary ledger — the City's internal CIP monitoring database, if one exists, was not located publicly.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Recipient</w:t>
            </w:r>
          </w:p>
        </w:tc>
        <w:tc>
          <w:tcPr/>
          <w:p>
            <w:pPr>
              <w:pStyle w:val="Compact"/>
            </w:pPr>
            <w:r>
              <w:t xml:space="preserve">Amount</w:t>
            </w:r>
          </w:p>
        </w:tc>
        <w:tc>
          <w:tcPr/>
          <w:p>
            <w:pPr>
              <w:pStyle w:val="Compact"/>
            </w:pPr>
            <w:r>
              <w:t xml:space="preserve">Program</w:t>
            </w:r>
          </w:p>
        </w:tc>
        <w:tc>
          <w:tcPr/>
          <w:p>
            <w:pPr>
              <w:pStyle w:val="Compact"/>
            </w:pPr>
            <w:r>
              <w:t xml:space="preserve">Status</w:t>
            </w:r>
          </w:p>
        </w:tc>
      </w:tr>
      <w:tr>
        <w:tc>
          <w:tcPr/>
          <w:p>
            <w:pPr>
              <w:pStyle w:val="Compact"/>
            </w:pPr>
            <w:r>
              <w:t xml:space="preserve">LJM Developments (London) Inc.</w:t>
            </w:r>
          </w:p>
        </w:tc>
        <w:tc>
          <w:tcPr/>
          <w:p>
            <w:pPr>
              <w:pStyle w:val="Compact"/>
            </w:pPr>
            <w:r>
              <w:t xml:space="preserve">$2,100,000</w:t>
            </w:r>
          </w:p>
        </w:tc>
        <w:tc>
          <w:tcPr/>
          <w:p>
            <w:pPr>
              <w:pStyle w:val="Compact"/>
            </w:pPr>
            <w:r>
              <w:t xml:space="preserve">Brownfield CIP — DC Rebate, 359 Wellington Rd.</w:t>
            </w:r>
          </w:p>
        </w:tc>
        <w:tc>
          <w:tcPr/>
          <w:p>
            <w:pPr>
              <w:pStyle w:val="Compact"/>
            </w:pPr>
            <w:r>
              <w:t xml:space="preserve">Approved 2025-02-19 (PEC); not paid until remediation/DC/RSC conditions met</w:t>
            </w:r>
          </w:p>
        </w:tc>
      </w:tr>
      <w:tr>
        <w:tc>
          <w:tcPr/>
          <w:p>
            <w:pPr>
              <w:pStyle w:val="Compact"/>
            </w:pPr>
            <w:r>
              <w:t xml:space="preserve">Youth Opportunities Unlimited</w:t>
            </w:r>
          </w:p>
        </w:tc>
        <w:tc>
          <w:tcPr/>
          <w:p>
            <w:pPr>
              <w:pStyle w:val="Compact"/>
            </w:pPr>
            <w:r>
              <w:t xml:space="preserve">$14,895</w:t>
            </w:r>
          </w:p>
        </w:tc>
        <w:tc>
          <w:tcPr/>
          <w:p>
            <w:pPr>
              <w:pStyle w:val="Compact"/>
            </w:pPr>
            <w:r>
              <w:t xml:space="preserve">Residential DC Grant, 340 Richmond St.</w:t>
            </w:r>
          </w:p>
        </w:tc>
        <w:tc>
          <w:tcPr/>
          <w:p>
            <w:pPr>
              <w:pStyle w:val="Compact"/>
            </w:pPr>
            <w:r>
              <w:t xml:space="preserve">Directed to process by Council, 2020-10-27; payment not independently verified</w:t>
            </w:r>
          </w:p>
        </w:tc>
      </w:tr>
    </w:tbl>
    <w:p>
      <w:pPr>
        <w:pStyle w:val="BodyText"/>
      </w:pPr>
      <w:r>
        <w:rPr>
          <w:b/>
          <w:bCs/>
        </w:rPr>
        <w:t xml:space="preserve">SOURCE LOCK:</w:t>
      </w:r>
      <w:r>
        <w:t xml:space="preserve"> </w:t>
      </w:r>
      <w:r>
        <w:t xml:space="preserve">SOURCE LOCK City of London Planning and Environment Committee minutes (2025-02-19) and Council minutes (2020-10-27), individually quoted.</w:t>
      </w:r>
    </w:p>
    <w:p>
      <w:pPr>
        <w:pStyle w:val="BodyText"/>
      </w:pPr>
      <w:r>
        <w:rPr>
          <w:b/>
          <w:bCs/>
        </w:rPr>
        <w:t xml:space="preserve">Scope limit:</w:t>
      </w:r>
      <w:r>
        <w:t xml:space="preserve"> </w:t>
      </w:r>
      <w:r>
        <w:t xml:space="preserve">Scope limit These two rows are not a representative sample of CIP spending — they are the two records that could be independently confirmed against source minutes before this deadline. A third lead (McCormick Villages Inc., ~$13,239) remains unverified and is not included.</w:t>
      </w:r>
    </w:p>
    <w:bookmarkStart w:id="58" w:name="X52bb2aa2f7ee2dafdfb2046e3e4d82cd08929c8"/>
    <w:p>
      <w:pPr>
        <w:pStyle w:val="Heading3"/>
      </w:pPr>
      <w:r>
        <w:t xml:space="preserve">The full CIP toolkit, for scale — found this pass</w:t>
      </w:r>
    </w:p>
    <w:p>
      <w:pPr>
        <w:pStyle w:val="FirstParagraph"/>
      </w:pPr>
      <w:r>
        <w:t xml:space="preserve">The two verified rows above are two approvals out of a real, much larger program structure: the City's Community Improvement Incentives page lists</w:t>
      </w:r>
      <w:r>
        <w:t xml:space="preserve"> </w:t>
      </w:r>
      <w:r>
        <w:rPr>
          <w:b/>
          <w:bCs/>
        </w:rPr>
        <w:t xml:space="preserve">32 individually named incentive programs</w:t>
      </w:r>
      <w:r>
        <w:t xml:space="preserve"> </w:t>
      </w:r>
      <w:r>
        <w:t xml:space="preserve">across 5 city-wide categories (Affordable Housing, Brownfield, Heritage, Industrial Lands, Transit-Oriented Development) and 7 neighbourhood areas (Airport, Core Area, Downtown, Hamilton Road, Lambeth, Old East Village, SoHo) — façade-improvement loans, tax-increment grants, DC rebates and forgivable loans, each activated by its own Council approval. As of this evidence lock, four are marked closed/fully allocated on the City's own page: both ARU Construction Grant programs, the Building Permit Fee Waiving Program, and the TOD Per-Unit Forgivable Loan Program (application window closed Jan 5–Mar 27, 2026, consistent with §8's still-unresolved TOD results gap). No consolidated annual or monitoring report listing every individual approval across all 32 programs was located — confirmed absent by direct search and by checking the incentives page itself for such a link, not merely unsearched.</w:t>
      </w:r>
    </w:p>
    <w:p>
      <w:pPr>
        <w:pStyle w:val="BodyText"/>
      </w:pPr>
      <w:r>
        <w:rPr>
          <w:b/>
          <w:bCs/>
        </w:rPr>
        <w:t xml:space="preserve">SOURCE LOCK:</w:t>
      </w:r>
      <w:r>
        <w:t xml:space="preserve"> </w:t>
      </w:r>
      <w:r>
        <w:t xml:space="preserve">SOURCE LOCK City of London, "Community Improvement Plan Incentive Programs" page, london.ca/business-development/community-improvement-incentives, retrieved 2026-08-20.</w:t>
      </w:r>
    </w:p>
    <w:bookmarkEnd w:id="58"/>
    <w:bookmarkStart w:id="59" w:name="X4dae6cc58ff3c3dc5f8d581a116aefe55dfb7cc"/>
    <w:p>
      <w:pPr>
        <w:pStyle w:val="Heading3"/>
      </w:pPr>
      <w:r>
        <w:t xml:space="preserve">The Community Grants Metric Tool — found and read; it explains a gap rather than closing one</w:t>
      </w:r>
    </w:p>
    <w:p>
      <w:pPr>
        <w:pStyle w:val="FirstParagraph"/>
      </w:pPr>
      <w:r>
        <w:t xml:space="preserve">The Phase 2 roadmap (§19) previously flagged this document by name as unretrieved. It is real, public, and now read in full — a 6-page, April 29, 2019 methodology guide, not an outcomes report. It gives grant applicants a menu of roughly 70 pre-written, self-selected metric phrasings ("X# youth feel an increased sense of well being," "X# residents feel more engaged in their community") to insert into their own funding applications, each organization choosing up to 3 per Expected Result from a common list. This is a genuine, useful finding in its own right: it explains</w:t>
      </w:r>
      <w:r>
        <w:t xml:space="preserve"> </w:t>
      </w:r>
      <w:r>
        <w:rPr>
          <w:i/>
          <w:iCs/>
        </w:rPr>
        <w:t xml:space="preserve">why</w:t>
      </w:r>
      <w:r>
        <w:t xml:space="preserve"> </w:t>
      </w:r>
      <w:r>
        <w:t xml:space="preserve">no aggregate, audited outcomes ledger exists for the Community Grants Program above — results are self-reported by each grantee against self-chosen metrics from a shared menu, not centrally measured or standardized by the City, making cross-recipient comparison structurally difficult even if every individual report were public.</w:t>
      </w:r>
    </w:p>
    <w:p>
      <w:pPr>
        <w:pStyle w:val="BodyText"/>
      </w:pPr>
      <w:r>
        <w:rPr>
          <w:b/>
          <w:bCs/>
        </w:rPr>
        <w:t xml:space="preserve">SOURCE LOCK:</w:t>
      </w:r>
      <w:r>
        <w:t xml:space="preserve"> </w:t>
      </w:r>
      <w:r>
        <w:t xml:space="preserve">SOURCE LOCK City of London, London Community Grants Program Metrics Tool , April 29, 2019 (london.ca/sites/default/files/2021-02/London%20Community%20Grants%20Metric%20Tool.pdf) — full 6-page document retrieved and read.</w:t>
      </w:r>
    </w:p>
    <w:bookmarkEnd w:id="59"/>
    <w:bookmarkStart w:id="60" w:name="Xdc07673bb28b1429c98f01c9c4b80850784e8cf"/>
    <w:p>
      <w:pPr>
        <w:pStyle w:val="Heading3"/>
      </w:pPr>
      <w:r>
        <w:t xml:space="preserve">Community Grants Program — the annual stream, in full</w:t>
      </w:r>
    </w:p>
    <w:p>
      <w:pPr>
        <w:pStyle w:val="FirstParagraph"/>
      </w:pPr>
      <w:r>
        <w:t xml:space="preserve">Separately from CIP, the City's Community Grants Program has a distinct annual "Grassroots, Innovation and Capital" stream, cut by Council from $496,000 to $250,000/year (capped at $50,000/applicant) pending a comprehensive program review. Every 2025 recipient is public and verified below — this is the full list, not a sample.</w:t>
      </w:r>
    </w:p>
    <w:p>
      <w:pPr>
        <w:pStyle w:val="TableCaption"/>
      </w:pPr>
      <w:r>
        <w:t xml:space="preserve">2025 Grassroots, Innovation and Capital allocations, City of London Community Grants Program</w:t>
      </w:r>
    </w:p>
    <w:tbl>
      <w:tblPr>
        <w:tblStyle w:val="Table"/>
        <w:tblW w:type="auto" w:w="0"/>
        <w:tblLook w:firstRow="1" w:lastRow="0" w:firstColumn="0" w:lastColumn="0" w:noHBand="0" w:noVBand="0" w:val="0020"/>
        <w:tblCaption w:val="2025 Grassroots, Innovation and Capital allocations, City of London Community Grants Program"/>
      </w:tblPr>
      <w:tblGrid>
        <w:gridCol w:w="2640"/>
        <w:gridCol w:w="2640"/>
        <w:gridCol w:w="2640"/>
      </w:tblGrid>
      <w:tr>
        <w:trPr>
          <w:tblHeader w:val="on"/>
        </w:trPr>
        <w:tc>
          <w:tcPr/>
          <w:p>
            <w:pPr>
              <w:pStyle w:val="Compact"/>
            </w:pPr>
            <w:r>
              <w:t xml:space="preserve">Organization</w:t>
            </w:r>
          </w:p>
        </w:tc>
        <w:tc>
          <w:tcPr/>
          <w:p>
            <w:pPr>
              <w:pStyle w:val="Compact"/>
            </w:pPr>
            <w:r>
              <w:t xml:space="preserve">Stream</w:t>
            </w:r>
          </w:p>
        </w:tc>
        <w:tc>
          <w:tcPr/>
          <w:p>
            <w:pPr>
              <w:pStyle w:val="Compact"/>
            </w:pPr>
            <w:r>
              <w:t xml:space="preserve">Amount</w:t>
            </w:r>
          </w:p>
        </w:tc>
      </w:tr>
      <w:tr>
        <w:tc>
          <w:tcPr/>
          <w:p>
            <w:pPr>
              <w:pStyle w:val="Compact"/>
            </w:pPr>
            <w:r>
              <w:t xml:space="preserve">Urban Roots London</w:t>
            </w:r>
          </w:p>
        </w:tc>
        <w:tc>
          <w:tcPr/>
          <w:p>
            <w:pPr>
              <w:pStyle w:val="Compact"/>
            </w:pPr>
            <w:r>
              <w:t xml:space="preserve">Capital</w:t>
            </w:r>
          </w:p>
        </w:tc>
        <w:tc>
          <w:tcPr/>
          <w:p>
            <w:pPr>
              <w:pStyle w:val="Compact"/>
            </w:pPr>
            <w:r>
              <w:t xml:space="preserve">$37,890</w:t>
            </w:r>
          </w:p>
        </w:tc>
      </w:tr>
      <w:tr>
        <w:tc>
          <w:tcPr/>
          <w:p>
            <w:pPr>
              <w:pStyle w:val="Compact"/>
            </w:pPr>
            <w:r>
              <w:t xml:space="preserve">London Environmental Network</w:t>
            </w:r>
          </w:p>
        </w:tc>
        <w:tc>
          <w:tcPr/>
          <w:p>
            <w:pPr>
              <w:pStyle w:val="Compact"/>
            </w:pPr>
            <w:r>
              <w:t xml:space="preserve">Innovation</w:t>
            </w:r>
          </w:p>
        </w:tc>
        <w:tc>
          <w:tcPr/>
          <w:p>
            <w:pPr>
              <w:pStyle w:val="Compact"/>
            </w:pPr>
            <w:r>
              <w:t xml:space="preserve">$25,580</w:t>
            </w:r>
          </w:p>
        </w:tc>
      </w:tr>
      <w:tr>
        <w:tc>
          <w:tcPr/>
          <w:p>
            <w:pPr>
              <w:pStyle w:val="Compact"/>
            </w:pPr>
            <w:r>
              <w:t xml:space="preserve">Boomerz Boxing</w:t>
            </w:r>
          </w:p>
        </w:tc>
        <w:tc>
          <w:tcPr/>
          <w:p>
            <w:pPr>
              <w:pStyle w:val="Compact"/>
            </w:pPr>
            <w:r>
              <w:t xml:space="preserve">Grassroots</w:t>
            </w:r>
          </w:p>
        </w:tc>
        <w:tc>
          <w:tcPr/>
          <w:p>
            <w:pPr>
              <w:pStyle w:val="Compact"/>
            </w:pPr>
            <w:r>
              <w:t xml:space="preserve">$28,420</w:t>
            </w:r>
          </w:p>
        </w:tc>
      </w:tr>
      <w:tr>
        <w:tc>
          <w:tcPr/>
          <w:p>
            <w:pPr>
              <w:pStyle w:val="Compact"/>
            </w:pPr>
            <w:r>
              <w:t xml:space="preserve">Queer Intersections</w:t>
            </w:r>
          </w:p>
        </w:tc>
        <w:tc>
          <w:tcPr/>
          <w:p>
            <w:pPr>
              <w:pStyle w:val="Compact"/>
            </w:pPr>
            <w:r>
              <w:t xml:space="preserve">Grassroots (year 2)</w:t>
            </w:r>
          </w:p>
        </w:tc>
        <w:tc>
          <w:tcPr/>
          <w:p>
            <w:pPr>
              <w:pStyle w:val="Compact"/>
            </w:pPr>
            <w:r>
              <w:t xml:space="preserve">$28,420</w:t>
            </w:r>
          </w:p>
        </w:tc>
      </w:tr>
      <w:tr>
        <w:tc>
          <w:tcPr/>
          <w:p>
            <w:pPr>
              <w:pStyle w:val="Compact"/>
            </w:pPr>
            <w:r>
              <w:t xml:space="preserve">London InterCommunity Health Centre</w:t>
            </w:r>
          </w:p>
        </w:tc>
        <w:tc>
          <w:tcPr/>
          <w:p>
            <w:pPr>
              <w:pStyle w:val="Compact"/>
            </w:pPr>
            <w:r>
              <w:t xml:space="preserve">Innovation</w:t>
            </w:r>
          </w:p>
        </w:tc>
        <w:tc>
          <w:tcPr/>
          <w:p>
            <w:pPr>
              <w:pStyle w:val="Compact"/>
            </w:pPr>
            <w:r>
              <w:t xml:space="preserve">$22,450</w:t>
            </w:r>
          </w:p>
        </w:tc>
      </w:tr>
      <w:tr>
        <w:tc>
          <w:tcPr/>
          <w:p>
            <w:pPr>
              <w:pStyle w:val="Compact"/>
            </w:pPr>
            <w:r>
              <w:t xml:space="preserve">AfroBiome Foods Incorporated</w:t>
            </w:r>
          </w:p>
        </w:tc>
        <w:tc>
          <w:tcPr/>
          <w:p>
            <w:pPr>
              <w:pStyle w:val="Compact"/>
            </w:pPr>
            <w:r>
              <w:t xml:space="preserve">Grassroots</w:t>
            </w:r>
          </w:p>
        </w:tc>
        <w:tc>
          <w:tcPr/>
          <w:p>
            <w:pPr>
              <w:pStyle w:val="Compact"/>
            </w:pPr>
            <w:r>
              <w:t xml:space="preserve">$22,830</w:t>
            </w:r>
          </w:p>
        </w:tc>
      </w:tr>
      <w:tr>
        <w:tc>
          <w:tcPr/>
          <w:p>
            <w:pPr>
              <w:pStyle w:val="Compact"/>
            </w:pPr>
            <w:r>
              <w:t xml:space="preserve">Youth Coalition Combating Islamophobia</w:t>
            </w:r>
          </w:p>
        </w:tc>
        <w:tc>
          <w:tcPr/>
          <w:p>
            <w:pPr>
              <w:pStyle w:val="Compact"/>
            </w:pPr>
            <w:r>
              <w:t xml:space="preserve">Grassroots</w:t>
            </w:r>
          </w:p>
        </w:tc>
        <w:tc>
          <w:tcPr/>
          <w:p>
            <w:pPr>
              <w:pStyle w:val="Compact"/>
            </w:pPr>
            <w:r>
              <w:t xml:space="preserve">$14,210</w:t>
            </w:r>
          </w:p>
        </w:tc>
      </w:tr>
      <w:tr>
        <w:tc>
          <w:tcPr/>
          <w:p>
            <w:pPr>
              <w:pStyle w:val="Compact"/>
            </w:pPr>
            <w:r>
              <w:t xml:space="preserve">The Iraqi Canadian Society</w:t>
            </w:r>
          </w:p>
        </w:tc>
        <w:tc>
          <w:tcPr/>
          <w:p>
            <w:pPr>
              <w:pStyle w:val="Compact"/>
            </w:pPr>
            <w:r>
              <w:t xml:space="preserve">Innovation</w:t>
            </w:r>
          </w:p>
        </w:tc>
        <w:tc>
          <w:tcPr/>
          <w:p>
            <w:pPr>
              <w:pStyle w:val="Compact"/>
            </w:pPr>
            <w:r>
              <w:t xml:space="preserve">$10,680</w:t>
            </w:r>
          </w:p>
        </w:tc>
      </w:tr>
      <w:tr>
        <w:tc>
          <w:tcPr/>
          <w:p>
            <w:pPr>
              <w:pStyle w:val="Compact"/>
            </w:pPr>
            <w:r>
              <w:t xml:space="preserve">Cameroon Association of London Ontario (CALO)</w:t>
            </w:r>
          </w:p>
        </w:tc>
        <w:tc>
          <w:tcPr/>
          <w:p>
            <w:pPr>
              <w:pStyle w:val="Compact"/>
            </w:pPr>
            <w:r>
              <w:t xml:space="preserve">Innovation</w:t>
            </w:r>
          </w:p>
        </w:tc>
        <w:tc>
          <w:tcPr/>
          <w:p>
            <w:pPr>
              <w:pStyle w:val="Compact"/>
            </w:pPr>
            <w:r>
              <w:t xml:space="preserve">$12,000</w:t>
            </w:r>
          </w:p>
        </w:tc>
      </w:tr>
      <w:tr>
        <w:tc>
          <w:tcPr/>
          <w:p>
            <w:pPr>
              <w:pStyle w:val="Compact"/>
            </w:pPr>
            <w:r>
              <w:t xml:space="preserve">Jazz Association of London ON</w:t>
            </w:r>
          </w:p>
        </w:tc>
        <w:tc>
          <w:tcPr/>
          <w:p>
            <w:pPr>
              <w:pStyle w:val="Compact"/>
            </w:pPr>
            <w:r>
              <w:t xml:space="preserve">Innovation</w:t>
            </w:r>
          </w:p>
        </w:tc>
        <w:tc>
          <w:tcPr/>
          <w:p>
            <w:pPr>
              <w:pStyle w:val="Compact"/>
            </w:pPr>
            <w:r>
              <w:t xml:space="preserve">$10,620</w:t>
            </w:r>
          </w:p>
        </w:tc>
      </w:tr>
      <w:tr>
        <w:tc>
          <w:tcPr/>
          <w:p>
            <w:pPr>
              <w:pStyle w:val="Compact"/>
            </w:pPr>
            <w:r>
              <w:t xml:space="preserve">BlendIN</w:t>
            </w:r>
          </w:p>
        </w:tc>
        <w:tc>
          <w:tcPr/>
          <w:p>
            <w:pPr>
              <w:pStyle w:val="Compact"/>
            </w:pPr>
            <w:r>
              <w:t xml:space="preserve">Grassroots</w:t>
            </w:r>
          </w:p>
        </w:tc>
        <w:tc>
          <w:tcPr/>
          <w:p>
            <w:pPr>
              <w:pStyle w:val="Compact"/>
            </w:pPr>
            <w:r>
              <w:t xml:space="preserve">$10,000</w:t>
            </w:r>
          </w:p>
        </w:tc>
      </w:tr>
      <w:tr>
        <w:tc>
          <w:tcPr/>
          <w:p>
            <w:pPr>
              <w:pStyle w:val="Compact"/>
            </w:pPr>
            <w:r>
              <w:t xml:space="preserve">Black Community Employment &amp; Empowerment Service Inc.</w:t>
            </w:r>
          </w:p>
        </w:tc>
        <w:tc>
          <w:tcPr/>
          <w:p>
            <w:pPr>
              <w:pStyle w:val="Compact"/>
            </w:pPr>
            <w:r>
              <w:t xml:space="preserve">Innovation</w:t>
            </w:r>
          </w:p>
        </w:tc>
        <w:tc>
          <w:tcPr/>
          <w:p>
            <w:pPr>
              <w:pStyle w:val="Compact"/>
            </w:pPr>
            <w:r>
              <w:t xml:space="preserve">$10,000</w:t>
            </w:r>
          </w:p>
        </w:tc>
      </w:tr>
      <w:tr>
        <w:tc>
          <w:tcPr/>
          <w:p>
            <w:pPr>
              <w:pStyle w:val="Compact"/>
            </w:pPr>
            <w:r>
              <w:t xml:space="preserve">Wortley Pride</w:t>
            </w:r>
          </w:p>
        </w:tc>
        <w:tc>
          <w:tcPr/>
          <w:p>
            <w:pPr>
              <w:pStyle w:val="Compact"/>
            </w:pPr>
            <w:r>
              <w:t xml:space="preserve">Grassroots</w:t>
            </w:r>
          </w:p>
        </w:tc>
        <w:tc>
          <w:tcPr/>
          <w:p>
            <w:pPr>
              <w:pStyle w:val="Compact"/>
            </w:pPr>
            <w:r>
              <w:t xml:space="preserve">$3,900</w:t>
            </w:r>
          </w:p>
        </w:tc>
      </w:tr>
      <w:tr>
        <w:tc>
          <w:tcPr/>
          <w:p>
            <w:pPr>
              <w:pStyle w:val="Compact"/>
            </w:pPr>
            <w:r>
              <w:t xml:space="preserve">Kensington Village Association</w:t>
            </w:r>
          </w:p>
        </w:tc>
        <w:tc>
          <w:tcPr/>
          <w:p>
            <w:pPr>
              <w:pStyle w:val="Compact"/>
            </w:pPr>
            <w:r>
              <w:t xml:space="preserve">Grassroots (year 2)</w:t>
            </w:r>
          </w:p>
        </w:tc>
        <w:tc>
          <w:tcPr/>
          <w:p>
            <w:pPr>
              <w:pStyle w:val="Compact"/>
            </w:pPr>
            <w:r>
              <w:t xml:space="preserve">$5,000</w:t>
            </w:r>
          </w:p>
        </w:tc>
      </w:tr>
      <w:tr>
        <w:tc>
          <w:tcPr/>
          <w:p>
            <w:pPr>
              <w:pStyle w:val="Compact"/>
            </w:pPr>
            <w:r>
              <w:t xml:space="preserve">AEL FC Canada</w:t>
            </w:r>
          </w:p>
        </w:tc>
        <w:tc>
          <w:tcPr/>
          <w:p>
            <w:pPr>
              <w:pStyle w:val="Compact"/>
            </w:pPr>
            <w:r>
              <w:t xml:space="preserve">Innovation</w:t>
            </w:r>
          </w:p>
        </w:tc>
        <w:tc>
          <w:tcPr/>
          <w:p>
            <w:pPr>
              <w:pStyle w:val="Compact"/>
            </w:pPr>
            <w:r>
              <w:t xml:space="preserve">$5,000</w:t>
            </w:r>
          </w:p>
        </w:tc>
      </w:tr>
      <w:tr>
        <w:tc>
          <w:tcPr/>
          <w:p>
            <w:pPr>
              <w:pStyle w:val="Compact"/>
            </w:pPr>
            <w:r>
              <w:t xml:space="preserve">Pollinator Pathways Project</w:t>
            </w:r>
          </w:p>
        </w:tc>
        <w:tc>
          <w:tcPr/>
          <w:p>
            <w:pPr>
              <w:pStyle w:val="Compact"/>
            </w:pPr>
            <w:r>
              <w:t xml:space="preserve">Grassroots</w:t>
            </w:r>
          </w:p>
        </w:tc>
        <w:tc>
          <w:tcPr/>
          <w:p>
            <w:pPr>
              <w:pStyle w:val="Compact"/>
            </w:pPr>
            <w:r>
              <w:t xml:space="preserve">$3,000</w:t>
            </w:r>
          </w:p>
        </w:tc>
      </w:tr>
      <w:tr>
        <w:tc>
          <w:tcPr/>
          <w:p>
            <w:pPr>
              <w:pStyle w:val="Compact"/>
            </w:pPr>
            <w:r>
              <w:rPr>
                <w:b/>
                <w:bCs/>
              </w:rPr>
              <w:t xml:space="preserve">Total, 16 organizations</w:t>
            </w:r>
          </w:p>
        </w:tc>
        <w:tc>
          <w:tcPr/>
          <w:p>
            <w:pPr>
              <w:pStyle w:val="Compact"/>
            </w:pPr>
          </w:p>
        </w:tc>
        <w:tc>
          <w:tcPr/>
          <w:p>
            <w:pPr>
              <w:pStyle w:val="Compact"/>
            </w:pPr>
            <w:r>
              <w:rPr>
                <w:b/>
                <w:bCs/>
              </w:rPr>
              <w:t xml:space="preserve">$250,000</w:t>
            </w:r>
          </w:p>
        </w:tc>
      </w:tr>
    </w:tbl>
    <w:p>
      <w:pPr>
        <w:pStyle w:val="BodyText"/>
      </w:pPr>
      <w:r>
        <w:rPr>
          <w:b/>
          <w:bCs/>
        </w:rPr>
        <w:t xml:space="preserve">SOURCE LOCK:</w:t>
      </w:r>
      <w:r>
        <w:t xml:space="preserve"> </w:t>
      </w:r>
      <w:r>
        <w:t xml:space="preserve">SOURCE LOCK City of London, Community Grants Program Grassroots, Innovation, and Capital Funding Allocations (2025) , london.ca program page.</w:t>
      </w:r>
    </w:p>
    <w:bookmarkEnd w:id="60"/>
    <w:bookmarkStart w:id="61" w:name="X4ed0bca1f525a6d811b92c905b6001333371cba"/>
    <w:p>
      <w:pPr>
        <w:pStyle w:val="Heading3"/>
      </w:pPr>
      <w:r>
        <w:t xml:space="preserve">Multi-Year Grants (2024–2027) — the largest recipients, in full</w:t>
      </w:r>
    </w:p>
    <w:p>
      <w:pPr>
        <w:pStyle w:val="FirstParagraph"/>
      </w:pPr>
      <w:r>
        <w:t xml:space="preserve">The $250,000/year stream above is the smaller of two. The City's</w:t>
      </w:r>
      <w:r>
        <w:t xml:space="preserve"> </w:t>
      </w:r>
      <w:r>
        <w:rPr>
          <w:b/>
          <w:bCs/>
        </w:rPr>
        <w:t xml:space="preserve">Multi-Year Grants (2024–2027)</w:t>
      </w:r>
      <w:r>
        <w:t xml:space="preserve"> </w:t>
      </w:r>
      <w:r>
        <w:t xml:space="preserve">stream is fully public, itemized, and considerably larger:</w:t>
      </w:r>
      <w:r>
        <w:t xml:space="preserve"> </w:t>
      </w:r>
      <w:r>
        <w:rPr>
          <w:b/>
          <w:bCs/>
        </w:rPr>
        <w:t xml:space="preserve">$8.88M</w:t>
      </w:r>
      <w:r>
        <w:t xml:space="preserve"> </w:t>
      </w:r>
      <w:r>
        <w:t xml:space="preserve">committed across</w:t>
      </w:r>
      <w:r>
        <w:t xml:space="preserve"> </w:t>
      </w:r>
      <w:r>
        <w:rPr>
          <w:b/>
          <w:bCs/>
        </w:rPr>
        <w:t xml:space="preserve">41 organizations</w:t>
      </w:r>
      <w:r>
        <w:t xml:space="preserve"> </w:t>
      </w:r>
      <w:r>
        <w:t xml:space="preserve">over the four-year term.</w:t>
      </w:r>
    </w:p>
    <w:p>
      <w:pPr>
        <w:pStyle w:val="TableCaption"/>
      </w:pPr>
      <w:r>
        <w:t xml:space="preserve">Top 10 by committed amount, 2024–2027 term. Full 41-organization list is on the City's Community Grants Program page.</w:t>
      </w:r>
    </w:p>
    <w:tbl>
      <w:tblPr>
        <w:tblStyle w:val="Table"/>
        <w:tblW w:type="auto" w:w="0"/>
        <w:tblLook w:firstRow="1" w:lastRow="0" w:firstColumn="0" w:lastColumn="0" w:noHBand="0" w:noVBand="0" w:val="0020"/>
        <w:tblCaption w:val="Top 10 by committed amount, 2024–2027 term. Full 41-organization list is on the City's Community Grants Program page."/>
      </w:tblPr>
      <w:tblGrid>
        <w:gridCol w:w="3960"/>
        <w:gridCol w:w="3960"/>
      </w:tblGrid>
      <w:tr>
        <w:trPr>
          <w:tblHeader w:val="on"/>
        </w:trPr>
        <w:tc>
          <w:tcPr/>
          <w:p>
            <w:pPr>
              <w:pStyle w:val="Compact"/>
            </w:pPr>
            <w:r>
              <w:t xml:space="preserve">Organization</w:t>
            </w:r>
          </w:p>
        </w:tc>
        <w:tc>
          <w:tcPr/>
          <w:p>
            <w:pPr>
              <w:pStyle w:val="Compact"/>
            </w:pPr>
            <w:r>
              <w:t xml:space="preserve">2024–2027 total</w:t>
            </w:r>
          </w:p>
        </w:tc>
      </w:tr>
      <w:tr>
        <w:tc>
          <w:tcPr/>
          <w:p>
            <w:pPr>
              <w:pStyle w:val="Compact"/>
            </w:pPr>
            <w:r>
              <w:t xml:space="preserve">Boys' &amp; Girls' Club of London</w:t>
            </w:r>
          </w:p>
        </w:tc>
        <w:tc>
          <w:tcPr/>
          <w:p>
            <w:pPr>
              <w:pStyle w:val="Compact"/>
            </w:pPr>
            <w:r>
              <w:t xml:space="preserve">$1,200,000</w:t>
            </w:r>
          </w:p>
        </w:tc>
      </w:tr>
      <w:tr>
        <w:tc>
          <w:tcPr/>
          <w:p>
            <w:pPr>
              <w:pStyle w:val="Compact"/>
            </w:pPr>
            <w:r>
              <w:t xml:space="preserve">Atlohsa Family Healing Services</w:t>
            </w:r>
          </w:p>
        </w:tc>
        <w:tc>
          <w:tcPr/>
          <w:p>
            <w:pPr>
              <w:pStyle w:val="Compact"/>
            </w:pPr>
            <w:r>
              <w:t xml:space="preserve">$560,000</w:t>
            </w:r>
          </w:p>
        </w:tc>
      </w:tr>
      <w:tr>
        <w:tc>
          <w:tcPr/>
          <w:p>
            <w:pPr>
              <w:pStyle w:val="Compact"/>
            </w:pPr>
            <w:r>
              <w:t xml:space="preserve">South London Neighbourhood Resource Centre</w:t>
            </w:r>
          </w:p>
        </w:tc>
        <w:tc>
          <w:tcPr/>
          <w:p>
            <w:pPr>
              <w:pStyle w:val="Compact"/>
            </w:pPr>
            <w:r>
              <w:t xml:space="preserve">$480,000</w:t>
            </w:r>
          </w:p>
        </w:tc>
      </w:tr>
      <w:tr>
        <w:tc>
          <w:tcPr/>
          <w:p>
            <w:pPr>
              <w:pStyle w:val="Compact"/>
            </w:pPr>
            <w:r>
              <w:t xml:space="preserve">London &amp; Middlesex Heritage Museum</w:t>
            </w:r>
          </w:p>
        </w:tc>
        <w:tc>
          <w:tcPr/>
          <w:p>
            <w:pPr>
              <w:pStyle w:val="Compact"/>
            </w:pPr>
            <w:r>
              <w:t xml:space="preserve">$500,000</w:t>
            </w:r>
          </w:p>
        </w:tc>
      </w:tr>
      <w:tr>
        <w:tc>
          <w:tcPr/>
          <w:p>
            <w:pPr>
              <w:pStyle w:val="Compact"/>
            </w:pPr>
            <w:r>
              <w:t xml:space="preserve">London Children's Museum</w:t>
            </w:r>
          </w:p>
        </w:tc>
        <w:tc>
          <w:tcPr/>
          <w:p>
            <w:pPr>
              <w:pStyle w:val="Compact"/>
            </w:pPr>
            <w:r>
              <w:t xml:space="preserve">$400,000</w:t>
            </w:r>
          </w:p>
        </w:tc>
      </w:tr>
      <w:tr>
        <w:tc>
          <w:tcPr/>
          <w:p>
            <w:pPr>
              <w:pStyle w:val="Compact"/>
            </w:pPr>
            <w:r>
              <w:t xml:space="preserve">Muslim Resource Centre for Social Support &amp; Integration</w:t>
            </w:r>
          </w:p>
        </w:tc>
        <w:tc>
          <w:tcPr/>
          <w:p>
            <w:pPr>
              <w:pStyle w:val="Compact"/>
            </w:pPr>
            <w:r>
              <w:t xml:space="preserve">$400,000</w:t>
            </w:r>
          </w:p>
        </w:tc>
      </w:tr>
      <w:tr>
        <w:tc>
          <w:tcPr/>
          <w:p>
            <w:pPr>
              <w:pStyle w:val="Compact"/>
            </w:pPr>
            <w:r>
              <w:t xml:space="preserve">Southwest Aboriginal Health Access Centre</w:t>
            </w:r>
          </w:p>
        </w:tc>
        <w:tc>
          <w:tcPr/>
          <w:p>
            <w:pPr>
              <w:pStyle w:val="Compact"/>
            </w:pPr>
            <w:r>
              <w:t xml:space="preserve">$356,700</w:t>
            </w:r>
          </w:p>
        </w:tc>
      </w:tr>
      <w:tr>
        <w:tc>
          <w:tcPr/>
          <w:p>
            <w:pPr>
              <w:pStyle w:val="Compact"/>
            </w:pPr>
            <w:r>
              <w:t xml:space="preserve">Crouch Neighbourhood Resource Centre</w:t>
            </w:r>
          </w:p>
        </w:tc>
        <w:tc>
          <w:tcPr/>
          <w:p>
            <w:pPr>
              <w:pStyle w:val="Compact"/>
            </w:pPr>
            <w:r>
              <w:t xml:space="preserve">$320,000</w:t>
            </w:r>
          </w:p>
        </w:tc>
      </w:tr>
      <w:tr>
        <w:tc>
          <w:tcPr/>
          <w:p>
            <w:pPr>
              <w:pStyle w:val="Compact"/>
            </w:pPr>
            <w:r>
              <w:t xml:space="preserve">LUSO Community Services</w:t>
            </w:r>
          </w:p>
        </w:tc>
        <w:tc>
          <w:tcPr/>
          <w:p>
            <w:pPr>
              <w:pStyle w:val="Compact"/>
            </w:pPr>
            <w:r>
              <w:t xml:space="preserve">$320,000</w:t>
            </w:r>
          </w:p>
        </w:tc>
      </w:tr>
      <w:tr>
        <w:tc>
          <w:tcPr/>
          <w:p>
            <w:pPr>
              <w:pStyle w:val="Compact"/>
            </w:pPr>
            <w:r>
              <w:t xml:space="preserve">Northwest London Resource Centre</w:t>
            </w:r>
          </w:p>
        </w:tc>
        <w:tc>
          <w:tcPr/>
          <w:p>
            <w:pPr>
              <w:pStyle w:val="Compact"/>
            </w:pPr>
            <w:r>
              <w:t xml:space="preserve">$320,000</w:t>
            </w:r>
          </w:p>
        </w:tc>
      </w:tr>
      <w:tr>
        <w:tc>
          <w:tcPr/>
          <w:p>
            <w:pPr>
              <w:pStyle w:val="Compact"/>
            </w:pPr>
            <w:r>
              <w:rPr>
                <w:b/>
                <w:bCs/>
              </w:rPr>
              <w:t xml:space="preserve">All 41 organizations, total</w:t>
            </w:r>
          </w:p>
        </w:tc>
        <w:tc>
          <w:tcPr/>
          <w:p>
            <w:pPr>
              <w:pStyle w:val="Compact"/>
            </w:pPr>
            <w:r>
              <w:rPr>
                <w:b/>
                <w:bCs/>
              </w:rPr>
              <w:t xml:space="preserve">$8,880,000</w:t>
            </w:r>
          </w:p>
        </w:tc>
      </w:tr>
    </w:tbl>
    <w:p>
      <w:pPr>
        <w:pStyle w:val="BodyText"/>
      </w:pPr>
      <w:r>
        <w:rPr>
          <w:b/>
          <w:bCs/>
        </w:rPr>
        <w:t xml:space="preserve">SOURCE LOCK:</w:t>
      </w:r>
      <w:r>
        <w:t xml:space="preserve"> </w:t>
      </w:r>
      <w:r>
        <w:t xml:space="preserve">SOURCE LOCK City of London, Community Grants Program page (london.ca) — "Community Grants Program Allocations 2024–2027" listing, 41 organizations with individual amounts.</w:t>
      </w:r>
    </w:p>
    <w:p>
      <w:pPr>
        <w:pStyle w:val="BodyText"/>
      </w:pPr>
      <w:r>
        <w:rPr>
          <w:b/>
          <w:bCs/>
        </w:rPr>
        <w:t xml:space="preserve">Correction:</w:t>
      </w:r>
      <w:r>
        <w:t xml:space="preserve"> </w:t>
      </w:r>
      <w:r>
        <w:t xml:space="preserve">Correction An earlier pass at this edition cited a $2.3M figure for this stream, sourced from a separate newsroom announcement about program funding availability. The $8.88M figure above is read directly from the City's own itemized allocations listing and supersedes it — every dollar amount is a named recipient, not an availability ceiling.</w:t>
      </w:r>
    </w:p>
    <w:bookmarkEnd w:id="61"/>
    <w:bookmarkStart w:id="62" w:name="X60e6655b4d7802718b2e8a412b72abc2216f51f"/>
    <w:p>
      <w:pPr>
        <w:pStyle w:val="Heading3"/>
      </w:pPr>
      <w:r>
        <w:t xml:space="preserve">A third, smaller stream — with a real, primary-source internal audit</w:t>
      </w:r>
    </w:p>
    <w:p>
      <w:pPr>
        <w:pStyle w:val="FirstParagraph"/>
      </w:pPr>
      <w:r>
        <w:t xml:space="preserve">A third grants-adjacent program,</w:t>
      </w:r>
      <w:r>
        <w:t xml:space="preserve"> </w:t>
      </w:r>
      <w:r>
        <w:rPr>
          <w:b/>
          <w:bCs/>
        </w:rPr>
        <w:t xml:space="preserve">Neighbourhood Decision Making (NDM)</w:t>
      </w:r>
      <w:r>
        <w:t xml:space="preserve">, lets residents vote to allocate $250,000/year in municipal budget across five geographic areas of the City ($50,000 each, up to $30,000 per project). Unlike the audits referenced elsewhere in earlier drafts of this edition, this one is</w:t>
      </w:r>
      <w:r>
        <w:t xml:space="preserve"> </w:t>
      </w:r>
      <w:r>
        <w:rPr>
          <w:b/>
          <w:bCs/>
        </w:rPr>
        <w:t xml:space="preserve">directly verified</w:t>
      </w:r>
      <w:r>
        <w:t xml:space="preserve"> </w:t>
      </w:r>
      <w:r>
        <w:t xml:space="preserve">— the full 24-page final report was retrieved and read in full: MNP LLP,</w:t>
      </w:r>
      <w:r>
        <w:t xml:space="preserve"> </w:t>
      </w:r>
      <w:r>
        <w:rPr>
          <w:i/>
          <w:iCs/>
        </w:rPr>
        <w:t xml:space="preserve">Neighbourhood Decision Making Program Value for Money Audit</w:t>
      </w:r>
      <w:r>
        <w:t xml:space="preserve">, Final Report dated February 6, 2023.</w:t>
      </w:r>
    </w:p>
    <w:p>
      <w:pPr>
        <w:pStyle w:val="BodyText"/>
      </w:pPr>
      <w:r>
        <w:t xml:space="preserve">The audit found</w:t>
      </w:r>
      <w:r>
        <w:t xml:space="preserve"> </w:t>
      </w:r>
      <w:r>
        <w:rPr>
          <w:b/>
          <w:bCs/>
        </w:rPr>
        <w:t xml:space="preserve">11 observations</w:t>
      </w:r>
      <w:r>
        <w:t xml:space="preserve"> </w:t>
      </w:r>
      <w:r>
        <w:t xml:space="preserve">(Medium and Low priority; no High), each with a documented management response, accountable owner and timeline. The most specific: a resident who submitted a winning idea was</w:t>
      </w:r>
      <w:r>
        <w:t xml:space="preserve"> </w:t>
      </w:r>
      <w:r>
        <w:rPr>
          <w:i/>
          <w:iCs/>
        </w:rPr>
        <w:t xml:space="preserve">also compensated</w:t>
      </w:r>
      <w:r>
        <w:t xml:space="preserve"> </w:t>
      </w:r>
      <w:r>
        <w:t xml:space="preserve">by the City for managing that idea's implementation — the audit itself frames this as a guiding-principles gap ("does not clarify whether a resident may be compensated"), not misconduct, and management's action plan was to update the guiding principles before the 2023 Program launch, owned by Community Development and Grants in consultation with Finance Supports. The other ten cover process documentation, outcome tracking, feasibility-approval sign-off, and platform/KPI gaps — the same "disclosure and process, not disclosed misspending" pattern this review's central thesis (§1) describes for procurement and capital projects.</w:t>
      </w:r>
    </w:p>
    <w:p>
      <w:pPr>
        <w:pStyle w:val="BodyText"/>
      </w:pPr>
      <w:r>
        <w:rPr>
          <w:b/>
          <w:bCs/>
        </w:rPr>
        <w:t xml:space="preserve">SOURCE LOCK:</w:t>
      </w:r>
      <w:r>
        <w:t xml:space="preserve"> </w:t>
      </w:r>
      <w:r>
        <w:t xml:space="preserve">SOURCE LOCK City of London Internal Audit, Neighbourhood Decision Making Program Value for Money ("VfM") Audit , Final Report, February 6, 2023, MNP LLP (Geoff Rodrigues, CPA, CA, CIA, CRMA, ORMP, CSC, Partner, Enterprise Risk Services) — full 24-page report retrieved and read (pub-london.escribemeetings.com, DocumentId=96998).</w:t>
      </w:r>
    </w:p>
    <w:p>
      <w:pPr>
        <w:pStyle w:val="BodyText"/>
      </w:pPr>
      <w:r>
        <w:rPr>
          <w:b/>
          <w:bCs/>
        </w:rPr>
        <w:t xml:space="preserve">Why this matters beyond NDM itself:</w:t>
      </w:r>
      <w:r>
        <w:t xml:space="preserve"> </w:t>
      </w:r>
      <w:r>
        <w:t xml:space="preserve">Why this matters beyond NDM itself This is one of six real, primary-source internal audits this edition has now located and verified — all independently confirm the same pattern this review argues from the outside: management broadly agrees with findings, action plans exist, and the gaps are in documentation, outcome tracking and process clarity, not in disclosed dollar amounts. The full crosswalk is below — including a correction: this edition previously reported that a Community Grants Program audit did not exist. It does.</w:t>
      </w:r>
    </w:p>
    <w:bookmarkEnd w:id="62"/>
    <w:bookmarkStart w:id="63" w:name="Xebed76ddb56e80f3049a1fc1a25980d813b4c42"/>
    <w:p>
      <w:pPr>
        <w:pStyle w:val="Heading3"/>
      </w:pPr>
      <w:r>
        <w:t xml:space="preserve">The full internal audit crosswalk — found this pass, correcting an earlier "not found"</w:t>
      </w:r>
    </w:p>
    <w:p>
      <w:pPr>
        <w:pStyle w:val="FirstParagraph"/>
      </w:pPr>
      <w:r>
        <w:t xml:space="preserve">The City's own</w:t>
      </w:r>
      <w:r>
        <w:t xml:space="preserve"> </w:t>
      </w:r>
      <w:r>
        <w:rPr>
          <w:b/>
          <w:bCs/>
        </w:rPr>
        <w:t xml:space="preserve">Internal Audit Plan</w:t>
      </w:r>
      <w:r>
        <w:t xml:space="preserve"> </w:t>
      </w:r>
      <w:r>
        <w:t xml:space="preserve">— a real, named document, quarterly-updated and presented to every Audit Committee meeting — lists every planned, underway and completed audit for 2025–2026. Found this pass by retrieving the Sept 10, 2025 and Feb 25, 2026 Audit Committee meeting packages directly. It corrects two things this edition previously got wrong: a Community Grants Program audit</w:t>
      </w:r>
      <w:r>
        <w:t xml:space="preserve"> </w:t>
      </w:r>
      <w:r>
        <w:rPr>
          <w:b/>
          <w:bCs/>
        </w:rPr>
        <w:t xml:space="preserve">does</w:t>
      </w:r>
      <w:r>
        <w:t xml:space="preserve"> </w:t>
      </w:r>
      <w:r>
        <w:t xml:space="preserve">exist (this edition previously said it did not), and a Community Improvement Plans audit</w:t>
      </w:r>
      <w:r>
        <w:t xml:space="preserve"> </w:t>
      </w:r>
      <w:r>
        <w:rPr>
          <w:b/>
          <w:bCs/>
        </w:rPr>
        <w:t xml:space="preserve">has been completed</w:t>
      </w:r>
      <w:r>
        <w:t xml:space="preserve"> </w:t>
      </w:r>
      <w:r>
        <w:t xml:space="preserve">(this edition previously called it "only a potential future audit topic").</w:t>
      </w:r>
    </w:p>
    <w:p>
      <w:pPr>
        <w:pStyle w:val="TableCaption"/>
      </w:pPr>
      <w:r>
        <w:t xml:space="preserve">City of London Internal Audit Plan, 2025–2026, per MNP's own quarterly status memos</w:t>
      </w:r>
    </w:p>
    <w:tbl>
      <w:tblPr>
        <w:tblStyle w:val="Table"/>
        <w:tblW w:type="auto" w:w="0"/>
        <w:tblLook w:firstRow="1" w:lastRow="0" w:firstColumn="0" w:lastColumn="0" w:noHBand="0" w:noVBand="0" w:val="0020"/>
        <w:tblCaption w:val="City of London Internal Audit Plan, 2025–2026, per MNP's own quarterly status memos"/>
      </w:tblPr>
      <w:tblGrid>
        <w:gridCol w:w="1980"/>
        <w:gridCol w:w="1980"/>
        <w:gridCol w:w="1980"/>
        <w:gridCol w:w="1980"/>
      </w:tblGrid>
      <w:tr>
        <w:trPr>
          <w:tblHeader w:val="on"/>
        </w:trPr>
        <w:tc>
          <w:tcPr/>
          <w:p>
            <w:pPr>
              <w:pStyle w:val="Compact"/>
            </w:pPr>
            <w:r>
              <w:t xml:space="preserve">Audit</w:t>
            </w:r>
          </w:p>
        </w:tc>
        <w:tc>
          <w:tcPr/>
          <w:p>
            <w:pPr>
              <w:pStyle w:val="Compact"/>
            </w:pPr>
            <w:r>
              <w:t xml:space="preserve">Status</w:t>
            </w:r>
          </w:p>
        </w:tc>
        <w:tc>
          <w:tcPr/>
          <w:p>
            <w:pPr>
              <w:pStyle w:val="Compact"/>
            </w:pPr>
            <w:r>
              <w:t xml:space="preserve">Submitted</w:t>
            </w:r>
          </w:p>
        </w:tc>
        <w:tc>
          <w:tcPr/>
          <w:p>
            <w:pPr>
              <w:pStyle w:val="Compact"/>
            </w:pPr>
            <w:r>
              <w:t xml:space="preserve">What this edition verified</w:t>
            </w:r>
          </w:p>
        </w:tc>
      </w:tr>
      <w:tr>
        <w:tc>
          <w:tcPr/>
          <w:p>
            <w:pPr>
              <w:pStyle w:val="Compact"/>
            </w:pPr>
            <w:r>
              <w:t xml:space="preserve">Creating a Safe London for Women and Girls</w:t>
            </w:r>
          </w:p>
        </w:tc>
        <w:tc>
          <w:tcPr/>
          <w:p>
            <w:pPr>
              <w:pStyle w:val="Compact"/>
            </w:pPr>
            <w:r>
              <w:t xml:space="preserve">Complete</w:t>
            </w:r>
          </w:p>
        </w:tc>
        <w:tc>
          <w:tcPr/>
          <w:p>
            <w:pPr>
              <w:pStyle w:val="Compact"/>
            </w:pPr>
            <w:r>
              <w:t xml:space="preserve">Jun 18, 2025</w:t>
            </w:r>
          </w:p>
        </w:tc>
        <w:tc>
          <w:tcPr/>
          <w:p>
            <w:pPr>
              <w:pStyle w:val="Compact"/>
            </w:pPr>
            <w:r>
              <w:t xml:space="preserve">Named in the Plan; report itself not retrieved this pass.</w:t>
            </w:r>
          </w:p>
        </w:tc>
      </w:tr>
      <w:tr>
        <w:tc>
          <w:tcPr/>
          <w:p>
            <w:pPr>
              <w:pStyle w:val="Compact"/>
            </w:pPr>
            <w:r>
              <w:t xml:space="preserve">Community Grants Program</w:t>
            </w:r>
          </w:p>
        </w:tc>
        <w:tc>
          <w:tcPr/>
          <w:p>
            <w:pPr>
              <w:pStyle w:val="Compact"/>
            </w:pPr>
            <w:r>
              <w:t xml:space="preserve">Complete</w:t>
            </w:r>
          </w:p>
        </w:tc>
        <w:tc>
          <w:tcPr/>
          <w:p>
            <w:pPr>
              <w:pStyle w:val="Compact"/>
            </w:pPr>
            <w:r>
              <w:t xml:space="preserve">Jun 18, 2025</w:t>
            </w:r>
          </w:p>
        </w:tc>
        <w:tc>
          <w:tcPr/>
          <w:p>
            <w:pPr>
              <w:pStyle w:val="Compact"/>
            </w:pPr>
            <w:r>
              <w:rPr>
                <w:b/>
                <w:bCs/>
              </w:rPr>
              <w:t xml:space="preserve">Correction:</w:t>
            </w:r>
            <w:r>
              <w:t xml:space="preserve"> </w:t>
            </w:r>
            <w:r>
              <w:t xml:space="preserve">2 real Medium observations found via the quarterly follow-up dashboard — see below. Full report not retrieved.</w:t>
            </w:r>
          </w:p>
        </w:tc>
      </w:tr>
      <w:tr>
        <w:tc>
          <w:tcPr/>
          <w:p>
            <w:pPr>
              <w:pStyle w:val="Compact"/>
            </w:pPr>
            <w:r>
              <w:t xml:space="preserve">Housing and Homelessness (Hubs)</w:t>
            </w:r>
          </w:p>
        </w:tc>
        <w:tc>
          <w:tcPr/>
          <w:p>
            <w:pPr>
              <w:pStyle w:val="Compact"/>
            </w:pPr>
            <w:r>
              <w:t xml:space="preserve">Complete + Supplemental</w:t>
            </w:r>
          </w:p>
        </w:tc>
        <w:tc>
          <w:tcPr/>
          <w:p>
            <w:pPr>
              <w:pStyle w:val="Compact"/>
            </w:pPr>
            <w:r>
              <w:t xml:space="preserve">Sep 10, 2025 / Feb 25, 2026</w:t>
            </w:r>
          </w:p>
        </w:tc>
        <w:tc>
          <w:tcPr/>
          <w:p>
            <w:pPr>
              <w:pStyle w:val="Compact"/>
            </w:pPr>
            <w:r>
              <w:t xml:space="preserve">Full 17-page report</w:t>
            </w:r>
            <w:r>
              <w:t xml:space="preserve"> </w:t>
            </w:r>
            <w:r>
              <w:rPr>
                <w:b/>
                <w:bCs/>
              </w:rPr>
              <w:t xml:space="preserve">and</w:t>
            </w:r>
            <w:r>
              <w:t xml:space="preserve"> </w:t>
            </w:r>
            <w:r>
              <w:t xml:space="preserve">the Feb 2026 supplemental cost-benefit report both retrieved and read in full — see §14.</w:t>
            </w:r>
          </w:p>
        </w:tc>
      </w:tr>
      <w:tr>
        <w:tc>
          <w:tcPr/>
          <w:p>
            <w:pPr>
              <w:pStyle w:val="Compact"/>
            </w:pPr>
            <w:r>
              <w:t xml:space="preserve">Anti-Racism Anti-Oppression (ARAO)</w:t>
            </w:r>
          </w:p>
        </w:tc>
        <w:tc>
          <w:tcPr/>
          <w:p>
            <w:pPr>
              <w:pStyle w:val="Compact"/>
            </w:pPr>
            <w:r>
              <w:t xml:space="preserve">Complete</w:t>
            </w:r>
          </w:p>
        </w:tc>
        <w:tc>
          <w:tcPr/>
          <w:p>
            <w:pPr>
              <w:pStyle w:val="Compact"/>
            </w:pPr>
            <w:r>
              <w:t xml:space="preserve">~Nov 19, 2025</w:t>
            </w:r>
          </w:p>
        </w:tc>
        <w:tc>
          <w:tcPr/>
          <w:p>
            <w:pPr>
              <w:pStyle w:val="Compact"/>
            </w:pPr>
            <w:r>
              <w:t xml:space="preserve">Named in the Plan (off the active list as of Feb 2026, implying completion); report not retrieved.</w:t>
            </w:r>
          </w:p>
        </w:tc>
      </w:tr>
      <w:tr>
        <w:tc>
          <w:tcPr/>
          <w:p>
            <w:pPr>
              <w:pStyle w:val="Compact"/>
            </w:pPr>
            <w:r>
              <w:t xml:space="preserve">Performance Measurement</w:t>
            </w:r>
          </w:p>
        </w:tc>
        <w:tc>
          <w:tcPr/>
          <w:p>
            <w:pPr>
              <w:pStyle w:val="Compact"/>
            </w:pPr>
            <w:r>
              <w:t xml:space="preserve">Complete</w:t>
            </w:r>
          </w:p>
        </w:tc>
        <w:tc>
          <w:tcPr/>
          <w:p>
            <w:pPr>
              <w:pStyle w:val="Compact"/>
            </w:pPr>
            <w:r>
              <w:t xml:space="preserve">~Nov 19, 2025</w:t>
            </w:r>
          </w:p>
        </w:tc>
        <w:tc>
          <w:tcPr/>
          <w:p>
            <w:pPr>
              <w:pStyle w:val="Compact"/>
            </w:pPr>
            <w:r>
              <w:t xml:space="preserve">Named in the Plan (off the active list as of Feb 2026, implying completion); report not retrieved.</w:t>
            </w:r>
          </w:p>
        </w:tc>
      </w:tr>
      <w:tr>
        <w:tc>
          <w:tcPr/>
          <w:p>
            <w:pPr>
              <w:pStyle w:val="Compact"/>
            </w:pPr>
            <w:r>
              <w:t xml:space="preserve">Community Improvement Plans (CIP)</w:t>
            </w:r>
          </w:p>
        </w:tc>
        <w:tc>
          <w:tcPr/>
          <w:p>
            <w:pPr>
              <w:pStyle w:val="Compact"/>
            </w:pPr>
            <w:r>
              <w:t xml:space="preserve">Complete</w:t>
            </w:r>
          </w:p>
        </w:tc>
        <w:tc>
          <w:tcPr/>
          <w:p>
            <w:pPr>
              <w:pStyle w:val="Compact"/>
            </w:pPr>
            <w:r>
              <w:t xml:space="preserve">Feb 12/25, 2026</w:t>
            </w:r>
          </w:p>
        </w:tc>
        <w:tc>
          <w:tcPr/>
          <w:p>
            <w:pPr>
              <w:pStyle w:val="Compact"/>
            </w:pPr>
            <w:r>
              <w:rPr>
                <w:b/>
                <w:bCs/>
              </w:rPr>
              <w:t xml:space="preserve">Correction:</w:t>
            </w:r>
            <w:r>
              <w:t xml:space="preserve"> </w:t>
            </w:r>
            <w:r>
              <w:t xml:space="preserve">full 16-page report retrieved and read — 5 real observations (4 Medium, 1 Low) — see below.</w:t>
            </w:r>
          </w:p>
        </w:tc>
      </w:tr>
      <w:tr>
        <w:tc>
          <w:tcPr/>
          <w:p>
            <w:pPr>
              <w:pStyle w:val="Compact"/>
            </w:pPr>
            <w:r>
              <w:t xml:space="preserve">Climate Emergency Action Plan</w:t>
            </w:r>
          </w:p>
        </w:tc>
        <w:tc>
          <w:tcPr/>
          <w:p>
            <w:pPr>
              <w:pStyle w:val="Compact"/>
            </w:pPr>
            <w:r>
              <w:t xml:space="preserve">Scoping underway</w:t>
            </w:r>
          </w:p>
        </w:tc>
        <w:tc>
          <w:tcPr/>
          <w:p>
            <w:pPr>
              <w:pStyle w:val="Compact"/>
            </w:pPr>
            <w:r>
              <w:t xml:space="preserve">Jun 17, 2026 (target)</w:t>
            </w:r>
          </w:p>
        </w:tc>
        <w:tc>
          <w:tcPr/>
          <w:p>
            <w:pPr>
              <w:pStyle w:val="Compact"/>
            </w:pPr>
            <w:r>
              <w:t xml:space="preserve">Not yet complete per the last plan update found (Feb 2026).</w:t>
            </w:r>
          </w:p>
        </w:tc>
      </w:tr>
      <w:tr>
        <w:tc>
          <w:tcPr/>
          <w:p>
            <w:pPr>
              <w:pStyle w:val="Compact"/>
            </w:pPr>
            <w:r>
              <w:t xml:space="preserve">Subdivision Review Process</w:t>
            </w:r>
          </w:p>
        </w:tc>
        <w:tc>
          <w:tcPr/>
          <w:p>
            <w:pPr>
              <w:pStyle w:val="Compact"/>
            </w:pPr>
            <w:r>
              <w:t xml:space="preserve">Scoping underway</w:t>
            </w:r>
          </w:p>
        </w:tc>
        <w:tc>
          <w:tcPr/>
          <w:p>
            <w:pPr>
              <w:pStyle w:val="Compact"/>
            </w:pPr>
            <w:r>
              <w:t xml:space="preserve">Jun 17, 2026 (target)</w:t>
            </w:r>
          </w:p>
        </w:tc>
        <w:tc>
          <w:tcPr/>
          <w:p>
            <w:pPr>
              <w:pStyle w:val="Compact"/>
            </w:pPr>
            <w:r>
              <w:t xml:space="preserve">Not yet complete per the last plan update found (Feb 2026).</w:t>
            </w:r>
          </w:p>
        </w:tc>
      </w:tr>
      <w:tr>
        <w:tc>
          <w:tcPr/>
          <w:p>
            <w:pPr>
              <w:pStyle w:val="Compact"/>
            </w:pPr>
            <w:r>
              <w:t xml:space="preserve">Continuous Improvement</w:t>
            </w:r>
          </w:p>
        </w:tc>
        <w:tc>
          <w:tcPr/>
          <w:p>
            <w:pPr>
              <w:pStyle w:val="Compact"/>
            </w:pPr>
            <w:r>
              <w:t xml:space="preserve">Planned</w:t>
            </w:r>
          </w:p>
        </w:tc>
        <w:tc>
          <w:tcPr/>
          <w:p>
            <w:pPr>
              <w:pStyle w:val="Compact"/>
            </w:pPr>
            <w:r>
              <w:t xml:space="preserve">Oct 7, 2026 (target)</w:t>
            </w:r>
          </w:p>
        </w:tc>
        <w:tc>
          <w:tcPr/>
          <w:p>
            <w:pPr>
              <w:pStyle w:val="Compact"/>
            </w:pPr>
            <w:r>
              <w:t xml:space="preserve">Not yet due as of this evidence lock.</w:t>
            </w:r>
          </w:p>
        </w:tc>
      </w:tr>
      <w:tr>
        <w:tc>
          <w:tcPr/>
          <w:p>
            <w:pPr>
              <w:pStyle w:val="Compact"/>
            </w:pPr>
            <w:r>
              <w:t xml:space="preserve">Privacy</w:t>
            </w:r>
          </w:p>
        </w:tc>
        <w:tc>
          <w:tcPr/>
          <w:p>
            <w:pPr>
              <w:pStyle w:val="Compact"/>
            </w:pPr>
            <w:r>
              <w:t xml:space="preserve">Planned</w:t>
            </w:r>
          </w:p>
        </w:tc>
        <w:tc>
          <w:tcPr/>
          <w:p>
            <w:pPr>
              <w:pStyle w:val="Compact"/>
            </w:pPr>
            <w:r>
              <w:t xml:space="preserve">Dec 9, 2026 (target)</w:t>
            </w:r>
          </w:p>
        </w:tc>
        <w:tc>
          <w:tcPr/>
          <w:p>
            <w:pPr>
              <w:pStyle w:val="Compact"/>
            </w:pPr>
            <w:r>
              <w:t xml:space="preserve">Not yet due as of this evidence lock.</w:t>
            </w:r>
          </w:p>
        </w:tc>
      </w:tr>
      <w:tr>
        <w:tc>
          <w:tcPr/>
          <w:p>
            <w:pPr>
              <w:pStyle w:val="Compact"/>
            </w:pPr>
            <w:r>
              <w:t xml:space="preserve">Vendor Risk Management not in the 2025-26 Plan table</w:t>
            </w:r>
          </w:p>
        </w:tc>
        <w:tc>
          <w:tcPr/>
          <w:p>
            <w:pPr>
              <w:pStyle w:val="Compact"/>
            </w:pPr>
            <w:r>
              <w:t xml:space="preserve">Complete, all 5 actions Closed</w:t>
            </w:r>
          </w:p>
        </w:tc>
        <w:tc>
          <w:tcPr/>
          <w:p>
            <w:pPr>
              <w:pStyle w:val="Compact"/>
            </w:pPr>
            <w:r>
              <w:t xml:space="preserve">Original: Q3 2024</w:t>
            </w:r>
          </w:p>
        </w:tc>
        <w:tc>
          <w:tcPr/>
          <w:p>
            <w:pPr>
              <w:pStyle w:val="Compact"/>
            </w:pPr>
            <w:r>
              <w:t xml:space="preserve">An earlier-cycle audit; all 5 tracked management actions closed as of Sept 2025, tied directly to the June 24, 2025 Procurement Policy revision already documented in §9.</w:t>
            </w:r>
          </w:p>
        </w:tc>
      </w:tr>
      <w:tr>
        <w:tc>
          <w:tcPr/>
          <w:p>
            <w:pPr>
              <w:pStyle w:val="Compact"/>
            </w:pPr>
            <w:r>
              <w:t xml:space="preserve">London Housing Development Projects – Lessons Learned not in the 2025-26 Plan table</w:t>
            </w:r>
          </w:p>
        </w:tc>
        <w:tc>
          <w:tcPr/>
          <w:p>
            <w:pPr>
              <w:pStyle w:val="Compact"/>
            </w:pPr>
            <w:r>
              <w:t xml:space="preserve">Complete, 3 of 4 actions On Track</w:t>
            </w:r>
          </w:p>
        </w:tc>
        <w:tc>
          <w:tcPr/>
          <w:p>
            <w:pPr>
              <w:pStyle w:val="Compact"/>
            </w:pPr>
            <w:r>
              <w:t xml:space="preserve">Original: Q3 2025</w:t>
            </w:r>
          </w:p>
        </w:tc>
        <w:tc>
          <w:tcPr/>
          <w:p>
            <w:pPr>
              <w:pStyle w:val="Compact"/>
            </w:pPr>
            <w:r>
              <w:t xml:space="preserve">1 High + 1 Medium observation on tenant-mix planning, payment-certifier controls and reserve-fund contributions for affordable housing developments, incl. Roadmap to 3,000 (§6, §15).</w:t>
            </w:r>
          </w:p>
        </w:tc>
      </w:tr>
    </w:tbl>
    <w:p>
      <w:pPr>
        <w:pStyle w:val="BodyText"/>
      </w:pPr>
      <w:r>
        <w:rPr>
          <w:b/>
          <w:bCs/>
        </w:rPr>
        <w:t xml:space="preserve">SOURCE LOCK:</w:t>
      </w:r>
      <w:r>
        <w:t xml:space="preserve"> </w:t>
      </w:r>
      <w:r>
        <w:t xml:space="preserve">SOURCE LOCK MNP LLP, "Summary Update from Internal Audit" memos to City of London Audit Committee, Sept 10, 2025 and Feb 25, 2026 (pub-london.escribemeetings.com, DocumentIds 118755, 122077); "Internal Audit Follow Up Activities Dashboard," same two meeting dates (DocumentIds 118756, 122078) — both retrieved and read in full.</w:t>
      </w:r>
    </w:p>
    <w:bookmarkEnd w:id="63"/>
    <w:bookmarkStart w:id="64" w:name="X001a562bc1729464ea9c21151ac6c84bec484f4"/>
    <w:p>
      <w:pPr>
        <w:pStyle w:val="Heading3"/>
      </w:pPr>
      <w:r>
        <w:t xml:space="preserve">Community Grants Program audit — 2 real findings, from the follow-up dashboard</w:t>
      </w:r>
    </w:p>
    <w:p>
      <w:pPr>
        <w:pStyle w:val="FirstParagraph"/>
      </w:pPr>
      <w:r>
        <w:t xml:space="preserve">The Sept 2025 quarterly follow-up dashboard tracks two Medium-priority observations from this audit, both with a Q4 2027 management target and rated "On Track for Completion": (1)</w:t>
      </w:r>
      <w:r>
        <w:t xml:space="preserve"> </w:t>
      </w:r>
      <w:r>
        <w:rPr>
          <w:b/>
          <w:bCs/>
        </w:rPr>
        <w:t xml:space="preserve">no documented threshold connects panel evaluation scores to final funding amounts</w:t>
      </w:r>
      <w:r>
        <w:t xml:space="preserve"> </w:t>
      </w:r>
      <w:r>
        <w:t xml:space="preserve">— the highest-scoring projects generally receive the most funding as a general practice, but nothing formalizes the translation from score to dollar amount, and panel scoring rationale isn't a mandatory field in the City's Smart Simple system; (2)</w:t>
      </w:r>
      <w:r>
        <w:t xml:space="preserve"> </w:t>
      </w:r>
      <w:r>
        <w:rPr>
          <w:b/>
          <w:bCs/>
        </w:rPr>
        <w:t xml:space="preserve">strategic-area overlap</w:t>
      </w:r>
      <w:r>
        <w:t xml:space="preserve"> </w:t>
      </w:r>
      <w:r>
        <w:t xml:space="preserve">between Community Grants and other City funding streams, specifically citing Housing and Homelessness as an area "already provided through other specific City programs" — a real, audit-identified risk that applicants without access to those other programs could be disadvantaged.</w:t>
      </w:r>
    </w:p>
    <w:p>
      <w:pPr>
        <w:pStyle w:val="BodyText"/>
      </w:pPr>
      <w:r>
        <w:rPr>
          <w:b/>
          <w:bCs/>
        </w:rPr>
        <w:t xml:space="preserve">SOURCE LOCK:</w:t>
      </w:r>
      <w:r>
        <w:t xml:space="preserve"> </w:t>
      </w:r>
      <w:r>
        <w:t xml:space="preserve">SOURCE LOCK "Internal Audit Follow Up Activities Dashboard," City of London Audit Committee meeting, September 10, 2025, "Community Grants Program Value for Money ('VfM') Audit" section (pub-london.escribemeetings.com, DocumentId=118756).</w:t>
      </w:r>
    </w:p>
    <w:bookmarkEnd w:id="64"/>
    <w:bookmarkStart w:id="65" w:name="X78608b59f2fb37c57570387ecd882491d2c4473"/>
    <w:p>
      <w:pPr>
        <w:pStyle w:val="Heading3"/>
      </w:pPr>
      <w:r>
        <w:t xml:space="preserve">Community Improvement Plans audit — the full report, real findings</w:t>
      </w:r>
    </w:p>
    <w:p>
      <w:pPr>
        <w:pStyle w:val="FirstParagraph"/>
      </w:pPr>
      <w:r>
        <w:t xml:space="preserve">Scoped to two of the City's CIPs specifically —</w:t>
      </w:r>
      <w:r>
        <w:t xml:space="preserve"> </w:t>
      </w:r>
      <w:r>
        <w:rPr>
          <w:b/>
          <w:bCs/>
        </w:rPr>
        <w:t xml:space="preserve">Downtown</w:t>
      </w:r>
      <w:r>
        <w:t xml:space="preserve"> </w:t>
      </w:r>
      <w:r>
        <w:t xml:space="preserve">and</w:t>
      </w:r>
      <w:r>
        <w:t xml:space="preserve"> </w:t>
      </w:r>
      <w:r>
        <w:rPr>
          <w:b/>
          <w:bCs/>
        </w:rPr>
        <w:t xml:space="preserve">Industrial Lands</w:t>
      </w:r>
      <w:r>
        <w:t xml:space="preserve"> </w:t>
      </w:r>
      <w:r>
        <w:t xml:space="preserve">(a different pair from the Brownfield/Affordable Housing CIPs already documented above and in §8). Five observations, four Medium and one Low, none High, all Management-agreed with dated action plans running to Q2–Q3 2027:</w:t>
      </w:r>
    </w:p>
    <w:p>
      <w:pPr>
        <w:pStyle w:val="Compact"/>
        <w:numPr>
          <w:ilvl w:val="0"/>
          <w:numId w:val="1005"/>
        </w:numPr>
      </w:pPr>
      <w:r>
        <w:rPr>
          <w:b/>
          <w:bCs/>
        </w:rPr>
        <w:t xml:space="preserve">No project-level outcome monitoring after incentives are issued</w:t>
      </w:r>
      <w:r>
        <w:t xml:space="preserve"> </w:t>
      </w:r>
      <w:r>
        <w:t xml:space="preserve">— Industrial Lands DC rebates are paid upfront at permit issuance with no systematic check that funded projects deliver the promised jobs or economic activity; instances exist of projects stalling or being cancelled after receiving incentives, with refunds only if permits are cancelled early.</w:t>
      </w:r>
    </w:p>
    <w:p>
      <w:pPr>
        <w:pStyle w:val="Compact"/>
        <w:numPr>
          <w:ilvl w:val="0"/>
          <w:numId w:val="1005"/>
        </w:numPr>
      </w:pPr>
      <w:r>
        <w:rPr>
          <w:b/>
          <w:bCs/>
        </w:rPr>
        <w:t xml:space="preserve">No funding cap on the Industrial Lands CIP's Development Charge rebate</w:t>
      </w:r>
      <w:r>
        <w:t xml:space="preserve"> </w:t>
      </w:r>
      <w:r>
        <w:t xml:space="preserve">— the program offers a 100% DC rebate for targeted industrial uses with no maximum dollar limit and no formal financial-forecasting process, a real financial-exposure risk the audit flags explicitly (though it also notes current project volume has kept this manageable so far).</w:t>
      </w:r>
    </w:p>
    <w:p>
      <w:pPr>
        <w:pStyle w:val="Compact"/>
        <w:numPr>
          <w:ilvl w:val="0"/>
          <w:numId w:val="1005"/>
        </w:numPr>
      </w:pPr>
      <w:r>
        <w:rPr>
          <w:b/>
          <w:bCs/>
        </w:rPr>
        <w:t xml:space="preserve">CIP definitions are outdated relative to the programs they govern</w:t>
      </w:r>
      <w:r>
        <w:t xml:space="preserve"> </w:t>
      </w:r>
      <w:r>
        <w:t xml:space="preserve">— the audit's own example: "Downtown CIP still references objectives from 1996," despite program-level changes like the 2024 Office-to-Residential Conversion Grant already covered in §8.</w:t>
      </w:r>
    </w:p>
    <w:p>
      <w:pPr>
        <w:pStyle w:val="Compact"/>
        <w:numPr>
          <w:ilvl w:val="0"/>
          <w:numId w:val="1005"/>
        </w:numPr>
      </w:pPr>
      <w:r>
        <w:t xml:space="preserve">No consolidated framework mapping each CIP's stated goals to its actual incentive programs, and limited public awareness of incentives among smaller property owners outside major development groups (Low priority).</w:t>
      </w:r>
    </w:p>
    <w:p>
      <w:pPr>
        <w:pStyle w:val="FirstParagraph"/>
      </w:pPr>
      <w:r>
        <w:rPr>
          <w:b/>
          <w:bCs/>
        </w:rPr>
        <w:t xml:space="preserve">SOURCE LOCK:</w:t>
      </w:r>
      <w:r>
        <w:t xml:space="preserve"> </w:t>
      </w:r>
      <w:r>
        <w:t xml:space="preserve">SOURCE LOCK MNP LLP, City of London Internal Audit — Community Improvement Plans Audit, Final Report , February 12, 2026, prepared by Philip Racco, Partner, Enterprise Risk Services (pub-london.escribemeetings.com, DocumentId=122079) — full 16-page report retrieved and read.</w:t>
      </w:r>
    </w:p>
    <w:bookmarkEnd w:id="65"/>
    <w:bookmarkEnd w:id="66"/>
    <w:bookmarkStart w:id="70" w:name="X431c66cf0253acdfef73fca97b6b7640d0cd9c7"/>
    <w:p>
      <w:pPr>
        <w:pStyle w:val="Heading2"/>
      </w:pPr>
      <w:r>
        <w:t xml:space="preserve">The City's own Housing and Homelessness value-for-money audit</w:t>
      </w:r>
    </w:p>
    <w:p>
      <w:pPr>
        <w:pStyle w:val="FirstParagraph"/>
      </w:pPr>
      <w:r>
        <w:t xml:space="preserve">Now includes the full MNP audit and its Feb 2026 Council-directed supplemental cost-benefit report</w:t>
      </w:r>
    </w:p>
    <w:p>
      <w:pPr>
        <w:pStyle w:val="BodyText"/>
      </w:pPr>
      <w:r>
        <w:t xml:space="preserve">The City's outsourced Internal Auditor (MNP LLP) completed a Housing and Homelessness Value-for-Money audit of London's homelessness "Hubs," dated</w:t>
      </w:r>
      <w:r>
        <w:t xml:space="preserve"> </w:t>
      </w:r>
      <w:r>
        <w:rPr>
          <w:b/>
          <w:bCs/>
        </w:rPr>
        <w:t xml:space="preserve">August 28, 2025</w:t>
      </w:r>
      <w:r>
        <w:t xml:space="preserve"> </w:t>
      </w:r>
      <w:r>
        <w:t xml:space="preserve">and presented to the</w:t>
      </w:r>
      <w:r>
        <w:t xml:space="preserve"> </w:t>
      </w:r>
      <w:r>
        <w:rPr>
          <w:b/>
          <w:bCs/>
        </w:rPr>
        <w:t xml:space="preserve">3rd Meeting of the Audit Committee on September 10, 2025</w:t>
      </w:r>
      <w:r>
        <w:t xml:space="preserve">. Committee member</w:t>
      </w:r>
      <w:r>
        <w:t xml:space="preserve"> </w:t>
      </w:r>
      <w:r>
        <w:rPr>
          <w:b/>
          <w:bCs/>
        </w:rPr>
        <w:t xml:space="preserve">Susan Stevenson</w:t>
      </w:r>
      <w:r>
        <w:t xml:space="preserve"> </w:t>
      </w:r>
      <w:r>
        <w:t xml:space="preserve">— the intended recipient of this review's Stevenson Briefing Note (a standalone companion document, referenced in §24) — filed a formal written dissent dated</w:t>
      </w:r>
      <w:r>
        <w:t xml:space="preserve"> </w:t>
      </w:r>
      <w:r>
        <w:rPr>
          <w:b/>
          <w:bCs/>
        </w:rPr>
        <w:t xml:space="preserve">September 8, 2025</w:t>
      </w:r>
      <w:r>
        <w:t xml:space="preserve"> </w:t>
      </w:r>
      <w:r>
        <w:t xml:space="preserve">(two days ahead of that meeting) declining to vote to receive the report. This edition previously had only her letter; this pass retrieved and read the 17-page audit report itself, filed on the same meeting agenda. Both are public documents and are presented side by side below — her letter is a dissenting committee member's characterization, not this review's interpretation, and the audit's own findings are stated in MNP's own words, not reconstructed from her summary of them.</w:t>
      </w:r>
    </w:p>
    <w:bookmarkStart w:id="67" w:name="X22018fb98345eee622f6b717be8d22c3702bcc0"/>
    <w:p>
      <w:pPr>
        <w:pStyle w:val="Heading3"/>
      </w:pPr>
      <w:r>
        <w:t xml:space="preserve">What Stevenson's letter establishes, in her own figures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Hub</w:t>
            </w:r>
          </w:p>
        </w:tc>
        <w:tc>
          <w:tcPr/>
          <w:p>
            <w:pPr>
              <w:pStyle w:val="Compact"/>
            </w:pPr>
            <w:r>
              <w:t xml:space="preserve">Beds</w:t>
            </w:r>
          </w:p>
        </w:tc>
        <w:tc>
          <w:tcPr/>
          <w:p>
            <w:pPr>
              <w:pStyle w:val="Compact"/>
            </w:pPr>
            <w:r>
              <w:t xml:space="preserve">Pre-Hub annual cost</w:t>
            </w:r>
          </w:p>
        </w:tc>
        <w:tc>
          <w:tcPr/>
          <w:p>
            <w:pPr>
              <w:pStyle w:val="Compact"/>
            </w:pPr>
            <w:r>
              <w:t xml:space="preserve">Hub-model annual cost</w:t>
            </w:r>
          </w:p>
        </w:tc>
        <w:tc>
          <w:tcPr/>
          <w:p>
            <w:pPr>
              <w:pStyle w:val="Compact"/>
            </w:pPr>
            <w:r>
              <w:t xml:space="preserve">Cost per bed/month</w:t>
            </w:r>
          </w:p>
        </w:tc>
      </w:tr>
      <w:tr>
        <w:tc>
          <w:tcPr/>
          <w:p>
            <w:pPr>
              <w:pStyle w:val="Compact"/>
            </w:pPr>
            <w:r>
              <w:t xml:space="preserve">Atlohsa (18 transitional + 10 respite)</w:t>
            </w:r>
          </w:p>
        </w:tc>
        <w:tc>
          <w:tcPr/>
          <w:p>
            <w:pPr>
              <w:pStyle w:val="Compact"/>
            </w:pPr>
            <w:r>
              <w:t xml:space="preserve">28</w:t>
            </w:r>
          </w:p>
        </w:tc>
        <w:tc>
          <w:tcPr/>
          <w:p>
            <w:pPr>
              <w:pStyle w:val="Compact"/>
            </w:pPr>
            <w:r>
              <w:t xml:space="preserve">$620,400 (Dec/23–Nov/24 Winter Response rate)</w:t>
            </w:r>
          </w:p>
        </w:tc>
        <w:tc>
          <w:tcPr/>
          <w:p>
            <w:pPr>
              <w:pStyle w:val="Compact"/>
            </w:pPr>
            <w:r>
              <w:t xml:space="preserve">$2,118,146/yr + $1,303,750 capital</w:t>
            </w:r>
          </w:p>
        </w:tc>
        <w:tc>
          <w:tcPr/>
          <w:p>
            <w:pPr>
              <w:pStyle w:val="Compact"/>
            </w:pPr>
            <w:r>
              <w:t xml:space="preserve">$6,304</w:t>
            </w:r>
          </w:p>
        </w:tc>
      </w:tr>
      <w:tr>
        <w:tc>
          <w:tcPr/>
          <w:p>
            <w:pPr>
              <w:pStyle w:val="Compact"/>
            </w:pPr>
            <w:r>
              <w:t xml:space="preserve">Y.O.U. (6 respite + 9 transitional)</w:t>
            </w:r>
          </w:p>
        </w:tc>
        <w:tc>
          <w:tcPr/>
          <w:p>
            <w:pPr>
              <w:pStyle w:val="Compact"/>
            </w:pPr>
            <w:r>
              <w:t xml:space="preserve">15</w:t>
            </w:r>
          </w:p>
        </w:tc>
        <w:tc>
          <w:tcPr/>
          <w:p>
            <w:pPr>
              <w:pStyle w:val="Compact"/>
            </w:pPr>
            <w:r>
              <w:t xml:space="preserve">n/a — new beds</w:t>
            </w:r>
          </w:p>
        </w:tc>
        <w:tc>
          <w:tcPr/>
          <w:p>
            <w:pPr>
              <w:pStyle w:val="Compact"/>
            </w:pPr>
            <w:r>
              <w:t xml:space="preserve">$3,123,550 capital + operating</w:t>
            </w:r>
          </w:p>
        </w:tc>
        <w:tc>
          <w:tcPr/>
          <w:p>
            <w:pPr>
              <w:pStyle w:val="Compact"/>
            </w:pPr>
            <w:r>
              <w:t xml:space="preserve">$11,021 (2nd year)</w:t>
            </w:r>
          </w:p>
        </w:tc>
      </w:tr>
    </w:tbl>
    <w:p>
      <w:pPr>
        <w:pStyle w:val="BodyText"/>
      </w:pPr>
      <w:r>
        <w:t xml:space="preserve">Stevenson's letter states the 2023 Hub-model investment totalled</w:t>
      </w:r>
      <w:r>
        <w:t xml:space="preserve"> </w:t>
      </w:r>
      <w:r>
        <w:rPr>
          <w:b/>
          <w:bCs/>
        </w:rPr>
        <w:t xml:space="preserve">$11,964,892</w:t>
      </w:r>
      <w:r>
        <w:t xml:space="preserve"> </w:t>
      </w:r>
      <w:r>
        <w:t xml:space="preserve">(~$12M) and added only</w:t>
      </w:r>
      <w:r>
        <w:t xml:space="preserve"> </w:t>
      </w:r>
      <w:r>
        <w:rPr>
          <w:b/>
          <w:bCs/>
        </w:rPr>
        <w:t xml:space="preserve">15 net new beds</w:t>
      </w:r>
      <w:r>
        <w:t xml:space="preserve"> </w:t>
      </w:r>
      <w:r>
        <w:t xml:space="preserve">— Atlohsa's 28 beds already existed under the prior Winter Response contract since December 2022; only Y.O.U.'s 15 beds were new. At the same Atlohsa location with the same bed count, she calculates the Hub contract costs</w:t>
      </w:r>
      <w:r>
        <w:t xml:space="preserve"> </w:t>
      </w:r>
      <w:r>
        <w:rPr>
          <w:b/>
          <w:bCs/>
        </w:rPr>
        <w:t xml:space="preserve">3.4 times</w:t>
      </w:r>
      <w:r>
        <w:t xml:space="preserve"> </w:t>
      </w:r>
      <w:r>
        <w:t xml:space="preserve">what the City paid under the prior contract.</w:t>
      </w:r>
    </w:p>
    <w:p>
      <w:pPr>
        <w:pStyle w:val="BlockText"/>
      </w:pPr>
      <w:r>
        <w:t xml:space="preserve">"Council is unable to evaluate the performance of any of the Hubs with this limited information. Council also does not know what the projected outcomes were when the Hub proposals were presented for consideration. […] There are many unanswered questions after the 2023 investment of almost $12M."</w:t>
      </w:r>
      <w:r>
        <w:t xml:space="preserve"> </w:t>
      </w:r>
      <w:r>
        <w:t xml:space="preserve">Susan Stevenson, letter to Audit Committee, September 8, 2025</w:t>
      </w:r>
    </w:p>
    <w:p>
      <w:pPr>
        <w:pStyle w:val="FirstParagraph"/>
      </w:pPr>
      <w:r>
        <w:t xml:space="preserve">The audit itself (per Stevenson's letter, citing its pages 15 and 18) reports the Hubs served over 100 individuals and helped over 40 secure housing — but, in her words, "not broken down by location/program," with "no details on the length of stay, the success of the housing placements, number or type of critical incidents." She notes London contracts an outsourced Internal Auditor rather than an Auditor General (unlike Hamilton or Ottawa) and states plainly: "I do not feel that we have received value for money from this audit."</w:t>
      </w:r>
    </w:p>
    <w:p>
      <w:pPr>
        <w:pStyle w:val="BodyText"/>
      </w:pPr>
      <w:r>
        <w:rPr>
          <w:b/>
          <w:bCs/>
        </w:rPr>
        <w:t xml:space="preserve">SOURCE LOCK:</w:t>
      </w:r>
      <w:r>
        <w:t xml:space="preserve"> </w:t>
      </w:r>
      <w:r>
        <w:t xml:space="preserve">SOURCE LOCK Susan Stevenson, letter to City of London Audit Committee re: "4.3 Housing and Homelessness Value for Money ('VFM') Audit – MNP," September 8, 2025 (pub-london.escribemeetings.com, DocumentId=118758).</w:t>
      </w:r>
    </w:p>
    <w:p>
      <w:pPr>
        <w:pStyle w:val="BodyText"/>
      </w:pPr>
      <w:r>
        <w:rPr>
          <w:b/>
          <w:bCs/>
        </w:rPr>
        <w:t xml:space="preserve">Correct interpretation:</w:t>
      </w:r>
      <w:r>
        <w:t xml:space="preserve"> </w:t>
      </w:r>
      <w:r>
        <w:t xml:space="preserve">Correct interpretation This is a sitting committee member's dissenting letter, not a finalized audit finding — Stevenson's arithmetic and framing are hers, not independently re-derived here. But as a primary source it does two things at once: it independently corroborates this review's central thesis (§1) that outcome data isn't being connected to spending, from inside the City's own accountability process — and it identifies exactly who this review's outreach should be speaking with, since she's already on record asking the same questions.</w:t>
      </w:r>
    </w:p>
    <w:bookmarkEnd w:id="67"/>
    <w:bookmarkStart w:id="68" w:name="Xb3cefffc1af9dea435f96a2e4de57f2c07c1507"/>
    <w:p>
      <w:pPr>
        <w:pStyle w:val="Heading3"/>
      </w:pPr>
      <w:r>
        <w:t xml:space="preserve">What the audit itself says, in MNP's own words</w:t>
      </w:r>
    </w:p>
    <w:p>
      <w:pPr>
        <w:pStyle w:val="FirstParagraph"/>
      </w:pPr>
      <w:r>
        <w:t xml:space="preserve">The Hubs Implementation Plan targeted five (5) operational Hubs — one per priority population (Couples and Families; Indigenous Individuals; Medically Complex Individuals; Women &amp; Female-Identifying Individuals; Youth 16-25) — by</w:t>
      </w:r>
      <w:r>
        <w:t xml:space="preserve"> </w:t>
      </w:r>
      <w:r>
        <w:rPr>
          <w:b/>
          <w:bCs/>
        </w:rPr>
        <w:t xml:space="preserve">May 2024</w:t>
      </w:r>
      <w:r>
        <w:t xml:space="preserve">. As of the audit's August 2025 fieldwork, only two are operating:</w:t>
      </w:r>
      <w:r>
        <w:t xml:space="preserve"> </w:t>
      </w:r>
      <w:r>
        <w:rPr>
          <w:b/>
          <w:bCs/>
        </w:rPr>
        <w:t xml:space="preserve">Wiigiwaaminaan Lodge</w:t>
      </w:r>
      <w:r>
        <w:t xml:space="preserve"> </w:t>
      </w:r>
      <w:r>
        <w:t xml:space="preserve">(Atlohsa, Indigenous individuals) and the</w:t>
      </w:r>
      <w:r>
        <w:t xml:space="preserve"> </w:t>
      </w:r>
      <w:r>
        <w:rPr>
          <w:b/>
          <w:bCs/>
        </w:rPr>
        <w:t xml:space="preserve">Community Youth Hub</w:t>
      </w:r>
      <w:r>
        <w:t xml:space="preserve"> </w:t>
      </w:r>
      <w:r>
        <w:t xml:space="preserve">(YOU, youth 16-25). The other three are listed simply as "In progress," 15+ months past the original target, with the audit citing site-location, organizational-capacity and long-term operating-funding barriers as the reasons. The "over 100 individuals served, over 40 secured housing" figure Stevenson's letter quotes traces, in the audit's own text, to</w:t>
      </w:r>
      <w:r>
        <w:t xml:space="preserve"> </w:t>
      </w:r>
      <w:r>
        <w:rPr>
          <w:b/>
          <w:bCs/>
        </w:rPr>
        <w:t xml:space="preserve">a separate program evaluation report completed in August 2025</w:t>
      </w:r>
      <w:r>
        <w:t xml:space="preserve"> </w:t>
      </w:r>
      <w:r>
        <w:t xml:space="preserve">— a real underlying document this pass did not separately retrieve, but now correctly attributed rather than taken solely on Stevenson's word.</w:t>
      </w:r>
    </w:p>
    <w:p>
      <w:pPr>
        <w:pStyle w:val="BodyText"/>
      </w:pPr>
      <w:r>
        <w:t xml:space="preserve">MNP rates all three of its observations Medium or Low — none High — and reports Management agreed with every one and supplied a dated action plan: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Observation</w:t>
            </w:r>
          </w:p>
        </w:tc>
        <w:tc>
          <w:tcPr/>
          <w:p>
            <w:pPr>
              <w:pStyle w:val="Compact"/>
            </w:pPr>
            <w:r>
              <w:t xml:space="preserve">Rating</w:t>
            </w:r>
          </w:p>
        </w:tc>
        <w:tc>
          <w:tcPr/>
          <w:p>
            <w:pPr>
              <w:pStyle w:val="Compact"/>
            </w:pPr>
            <w:r>
              <w:t xml:space="preserve">What MNP found</w:t>
            </w:r>
          </w:p>
        </w:tc>
        <w:tc>
          <w:tcPr/>
          <w:p>
            <w:pPr>
              <w:pStyle w:val="Compact"/>
            </w:pPr>
            <w:r>
              <w:t xml:space="preserve">Management's target</w:t>
            </w:r>
          </w:p>
        </w:tc>
      </w:tr>
      <w:tr>
        <w:tc>
          <w:tcPr/>
          <w:p>
            <w:pPr>
              <w:pStyle w:val="Compact"/>
            </w:pPr>
            <w:r>
              <w:t xml:space="preserve">1. Capacity and resources</w:t>
            </w:r>
          </w:p>
        </w:tc>
        <w:tc>
          <w:tcPr/>
          <w:p>
            <w:pPr>
              <w:pStyle w:val="Compact"/>
            </w:pPr>
            <w:r>
              <w:t xml:space="preserve">Medium</w:t>
            </w:r>
          </w:p>
        </w:tc>
        <w:tc>
          <w:tcPr/>
          <w:p>
            <w:pPr>
              <w:pStyle w:val="Compact"/>
            </w:pPr>
            <w:r>
              <w:t xml:space="preserve">Both operating Hubs are consistently at full capacity with waitlists; a forthcoming (Sept 2025) internal staff report found the workforce "highly committed but experiencing relatively low psychological health and safety" — a burnout/turnover risk. Food quantity/quality and activity supplies were also flagged as inconsistent by youth participants specifically.</w:t>
            </w:r>
          </w:p>
        </w:tc>
        <w:tc>
          <w:tcPr/>
          <w:p>
            <w:pPr>
              <w:pStyle w:val="Compact"/>
            </w:pPr>
            <w:r>
              <w:t xml:space="preserve">Q4 2025–Q4 2026, phased across 5 recommendations</w:t>
            </w:r>
          </w:p>
        </w:tc>
      </w:tr>
      <w:tr>
        <w:tc>
          <w:tcPr/>
          <w:p>
            <w:pPr>
              <w:pStyle w:val="Compact"/>
            </w:pPr>
            <w:r>
              <w:t xml:space="preserve">2. Only 2 of 5 Hubs implemented</w:t>
            </w:r>
          </w:p>
        </w:tc>
        <w:tc>
          <w:tcPr/>
          <w:p>
            <w:pPr>
              <w:pStyle w:val="Compact"/>
            </w:pPr>
            <w:r>
              <w:t xml:space="preserve">Medium</w:t>
            </w:r>
          </w:p>
        </w:tc>
        <w:tc>
          <w:tcPr/>
          <w:p>
            <w:pPr>
              <w:pStyle w:val="Compact"/>
            </w:pPr>
            <w:r>
              <w:t xml:space="preserve">Site location, organizational capacity and uncertain long-term operating funding are the stated barriers to the remaining 3 Hubs, all "In progress."</w:t>
            </w:r>
          </w:p>
        </w:tc>
        <w:tc>
          <w:tcPr/>
          <w:p>
            <w:pPr>
              <w:pStyle w:val="Compact"/>
            </w:pPr>
            <w:r>
              <w:t xml:space="preserve">Q4 2025–Q2 2026, incl. a Q4 2025 HART Hub opening</w:t>
            </w:r>
          </w:p>
        </w:tc>
      </w:tr>
      <w:tr>
        <w:tc>
          <w:tcPr/>
          <w:p>
            <w:pPr>
              <w:pStyle w:val="Compact"/>
            </w:pPr>
            <w:r>
              <w:t xml:space="preserve">3. Coordinated Access / HIFIS system limitations</w:t>
            </w:r>
          </w:p>
        </w:tc>
        <w:tc>
          <w:tcPr/>
          <w:p>
            <w:pPr>
              <w:pStyle w:val="Compact"/>
            </w:pPr>
            <w:r>
              <w:t xml:space="preserve">Low</w:t>
            </w:r>
          </w:p>
        </w:tc>
        <w:tc>
          <w:tcPr/>
          <w:p>
            <w:pPr>
              <w:pStyle w:val="Compact"/>
            </w:pPr>
            <w:r>
              <w:t xml:space="preserve">The By-Name List only captures individuals who connect with services within a rolling 90-day window</w:t>
            </w:r>
            <w:r>
              <w:t xml:space="preserve"> </w:t>
            </w:r>
            <w:r>
              <w:rPr>
                <w:i/>
                <w:iCs/>
              </w:rPr>
              <w:t xml:space="preserve">and</w:t>
            </w:r>
            <w:r>
              <w:t xml:space="preserve"> </w:t>
            </w:r>
            <w:r>
              <w:t xml:space="preserve">give explicit consent — a structural undercount, not a City data error. Weak Indigenous-identification data-collection guidance; Coordinated Access Team available weekdays 9–5 only, not on evenings/weekends when acute need often arises.</w:t>
            </w:r>
          </w:p>
        </w:tc>
        <w:tc>
          <w:tcPr/>
          <w:p>
            <w:pPr>
              <w:pStyle w:val="Compact"/>
            </w:pPr>
            <w:r>
              <w:t xml:space="preserve">Q1 2026–ongoing</w:t>
            </w:r>
          </w:p>
        </w:tc>
      </w:tr>
    </w:tbl>
    <w:p>
      <w:pPr>
        <w:pStyle w:val="BodyText"/>
      </w:pPr>
      <w:r>
        <w:rPr>
          <w:b/>
          <w:bCs/>
        </w:rPr>
        <w:t xml:space="preserve">SOURCE LOCK:</w:t>
      </w:r>
      <w:r>
        <w:t xml:space="preserve"> </w:t>
      </w:r>
      <w:r>
        <w:t xml:space="preserve">SOURCE LOCK MNP LLP, City of London Internal Audit — Housing and Homelessness Value for Money ("VfM") Audit, Final Report , August 28, 2025, prepared by Philip Racco, Partner, Enterprise Risk Services (pub-london.escribemeetings.com, DocumentId=118757) — full 17-page report retrieved and read, including Appendix A (rating scale) and Appendix B (distribution list: Audit Committee, Kevin Dickins, Anna Lisa Barbon).</w:t>
      </w:r>
    </w:p>
    <w:p>
      <w:pPr>
        <w:pStyle w:val="BodyText"/>
      </w:pPr>
      <w:r>
        <w:rPr>
          <w:b/>
          <w:bCs/>
        </w:rPr>
        <w:t xml:space="preserve">Two honest lenses on the same audit, not a contradiction:</w:t>
      </w:r>
      <w:r>
        <w:t xml:space="preserve"> </w:t>
      </w:r>
      <w:r>
        <w:t xml:space="preserve">Two honest lenses on the same audit, not a contradiction Stevenson's dissent and MNP's own report are not in factual conflict — they're doing different jobs. Stevenson focuses on cost per bed and net-new capacity (15 new beds for ~$12M) and on what Council itself can't evaluate from the report as written. MNP's own scope was explicitly narrower — it excluded capital costs entirely (line 3.2 of its Scope section) and was built to assess process and implementation progress, not to answer "was this worth the money" the way Stevenson's letter does. That MNP rated nothing High is a real finding, not a whitewash — and Stevenson's complaint that Council "does not know what the projected outcomes were" is also a real, unaddressed gap the audit itself doesn't close, since its own three observations are about capacity, timeline and data systems, not cost-effectiveness. Both readings survive independent verification; neither cancels the other.</w:t>
      </w:r>
    </w:p>
    <w:bookmarkEnd w:id="68"/>
    <w:bookmarkStart w:id="69" w:name="Xe9c54bcf62183781b93358d4ad1df67f5e5e9b5"/>
    <w:p>
      <w:pPr>
        <w:pStyle w:val="Heading3"/>
      </w:pPr>
      <w:r>
        <w:t xml:space="preserve">Council acted on Stevenson's exact complaint — found this pass, the real cost-benefit answer</w:t>
      </w:r>
    </w:p>
    <w:p>
      <w:pPr>
        <w:pStyle w:val="FirstParagraph"/>
      </w:pPr>
      <w:r>
        <w:t xml:space="preserve">On</w:t>
      </w:r>
      <w:r>
        <w:t xml:space="preserve"> </w:t>
      </w:r>
      <w:r>
        <w:rPr>
          <w:b/>
          <w:bCs/>
        </w:rPr>
        <w:t xml:space="preserve">December 17, 2025</w:t>
      </w:r>
      <w:r>
        <w:t xml:space="preserve">, Council resolved to direct Internal Audit to produce a supplementary report answering precisely what Stevenson's letter said was missing: a cost-benefit analysis, clarification of where additional Hub costs are allocated, and how incremental cost supports outcomes. MNP delivered it to the February 25, 2026 Audit Committee meeting — found and read in full this pass, not previously in this edition.</w:t>
      </w:r>
    </w:p>
    <w:p>
      <w:pPr>
        <w:pStyle w:val="BodyText"/>
      </w:pPr>
      <w:r>
        <w:t xml:space="preserve">Atlohsa (Wiigiwaaminaan Lodge), cost per bed/day $207.25 vs. Stevenson's $6,304/month ÷ 30 ≈ $210 — independently consistent</w:t>
      </w:r>
    </w:p>
    <w:p>
      <w:pPr>
        <w:pStyle w:val="BodyText"/>
      </w:pPr>
      <w:r>
        <w:t xml:space="preserve">YOU (Community Youth Hub), cost per bed/day $362.34 vs. Stevenson's $11,021/month ÷ 30 ≈ $367 — independently consistent</w:t>
      </w:r>
    </w:p>
    <w:p>
      <w:pPr>
        <w:pStyle w:val="BodyText"/>
      </w:pPr>
      <w:r>
        <w:t xml:space="preserve">Short-term emergency shelter, for comparison $120.93 /bed/day City-calculated; lower cost, but "nil to limited wrap-around supports"</w:t>
      </w:r>
    </w:p>
    <w:p>
      <w:pPr>
        <w:pStyle w:val="BodyText"/>
      </w:pPr>
      <w:r>
        <w:t xml:space="preserve">Actual-to-budget, Dec 2023–Dec 2025 (actuals + projections, since the original audit was fielded in August 2025): YOU spent</w:t>
      </w:r>
      <w:r>
        <w:t xml:space="preserve"> </w:t>
      </w:r>
      <w:r>
        <w:rPr>
          <w:b/>
          <w:bCs/>
        </w:rPr>
        <w:t xml:space="preserve">$2,979,974 against a $3,301,300 budget</w:t>
      </w:r>
      <w:r>
        <w:t xml:space="preserve"> </w:t>
      </w:r>
      <w:r>
        <w:t xml:space="preserve">(under, attributed to delayed full scale-up); Atlohsa spent</w:t>
      </w:r>
      <w:r>
        <w:t xml:space="preserve"> </w:t>
      </w:r>
      <w:r>
        <w:rPr>
          <w:b/>
          <w:bCs/>
        </w:rPr>
        <w:t xml:space="preserve">$4,248,275 against a $4,236,292 budget</w:t>
      </w:r>
      <w:r>
        <w:t xml:space="preserve"> </w:t>
      </w:r>
      <w:r>
        <w:t xml:space="preserve">(essentially on budget). Both breakdowns are itemized to specific cost lines — Atlohsa: $1.99M staff, $1.61M operating (incl. $631,748 rent/insurance, $237,176 cleaning, $194,052 "major incidents"), $445,839 participant costs, $201,728 admin; YOU: $1.95M staff, $789,563 operating (incl. $341,406 security), $241,416 participant costs.</w:t>
      </w:r>
    </w:p>
    <w:p>
      <w:pPr>
        <w:pStyle w:val="BodyText"/>
      </w:pPr>
      <w:r>
        <w:t xml:space="preserve">On outcomes, the supplemental report cites the City's own</w:t>
      </w:r>
      <w:r>
        <w:t xml:space="preserve"> </w:t>
      </w:r>
      <w:r>
        <w:rPr>
          <w:i/>
          <w:iCs/>
        </w:rPr>
        <w:t xml:space="preserve">Health &amp; Homelessness Whole of Community System Response Research and Evaluation Report</w:t>
      </w:r>
      <w:r>
        <w:t xml:space="preserve"> </w:t>
      </w:r>
      <w:r>
        <w:t xml:space="preserve">(Sept 2025) — the real source, now identified by name, for the "100+ served, 40+ housed" figure this edition already had via Stevenson's letter — and adds one specific, striking case:</w:t>
      </w:r>
      <w:r>
        <w:t xml:space="preserve"> </w:t>
      </w:r>
      <w:r>
        <w:rPr>
          <w:b/>
          <w:bCs/>
        </w:rPr>
        <w:t xml:space="preserve">one resident's emergency-department visits fell from 221 to 9, year-over-year</w:t>
      </w:r>
      <w:r>
        <w:t xml:space="preserve">, after a Highly Supportive Housing placement. It further cites national Housing First research (~69% of wrap-around costs offset via reduced shelter/health/justice-system use) and comparative day-rates for correctional facilities (~$367), inpatient mental health (~$567) and psychiatric hospitals (~$1,050) — all higher than either Hub's cost — to argue the Hubs are a cost-effective diversion from more expensive systems, not merely a more expensive shelter.</w:t>
      </w:r>
    </w:p>
    <w:p>
      <w:pPr>
        <w:pStyle w:val="BodyText"/>
      </w:pPr>
      <w:r>
        <w:rPr>
          <w:b/>
          <w:bCs/>
        </w:rPr>
        <w:t xml:space="preserve">SOURCE LOCK:</w:t>
      </w:r>
      <w:r>
        <w:t xml:space="preserve"> </w:t>
      </w:r>
      <w:r>
        <w:t xml:space="preserve">SOURCE LOCK MNP LLP, "Housing and Homelessness Value-for-Money (VFM) Audit Supplemental Report," memo to City of London Audit Committee, February 25, 2026, per Council resolution of December 17, 2025 (pub-london.escribemeetings.com, DocumentId=122080) — full 3-page report retrieved and read.</w:t>
      </w:r>
    </w:p>
    <w:p>
      <w:pPr>
        <w:pStyle w:val="BodyText"/>
      </w:pPr>
      <w:r>
        <w:rPr>
          <w:b/>
          <w:bCs/>
        </w:rPr>
        <w:t xml:space="preserve">This closes the loop this edition has been tracking since §14 was first built:</w:t>
      </w:r>
      <w:r>
        <w:t xml:space="preserve"> </w:t>
      </w:r>
      <w:r>
        <w:t xml:space="preserve">This closes the loop this edition has been tracking since §14 was first built Stevenson's September 2025 letter said Council "is unable to evaluate the performance of any of the Hubs with this limited information." Five months later, per her own request acted on by Council, it got a real cost-benefit analysis with itemized actuals-vs-budget, per-bed-day costs that independently cross-validate her own arithmetic almost exactly, and a national cost-effectiveness benchmark. This is the single cleanest before-and-after in the whole edition of the accountability loop this review argues is often missing elsewhere: a specific, documented complaint, real Council action, and a real, dollar-quantified answer — not a rebuttal of Stevenson's critique, but its resolution.</w:t>
      </w:r>
    </w:p>
    <w:bookmarkEnd w:id="69"/>
    <w:bookmarkEnd w:id="70"/>
    <w:bookmarkStart w:id="79" w:name="case-files-six-named-projects"/>
    <w:p>
      <w:pPr>
        <w:pStyle w:val="Heading2"/>
      </w:pPr>
      <w:r>
        <w:t xml:space="preserve">Case files — six named projects</w:t>
      </w:r>
    </w:p>
    <w:p>
      <w:pPr>
        <w:pStyle w:val="FirstParagraph"/>
      </w:pPr>
      <w:r>
        <w:t xml:space="preserve">Built from City staff reports, the 2025 DC Reserve Fund report, this review's own procurement dataset, and independent news coverage</w:t>
      </w:r>
    </w:p>
    <w:p>
      <w:pPr>
        <w:pStyle w:val="BodyText"/>
      </w:pPr>
      <w:r>
        <w:t xml:space="preserve">The research brief asked for full case files (authorization, award, budget/schedule history, change orders, current status, forecast cost, outcome, unresolved questions, classification) on ten named leads. Real, source-checked material exists for six; each is presented at the depth the public record actually supports, with a classification and the specific unresolved questions a records request would need to close. Three of the six (Mud Creek 2B, Springbank Dam, Wharncliffe) were strengthened this pass by joining the budget data below against the City's own scraped procurement records — the actual construction award, vendor and dollar amount, found by searching the review's existing 1,978-record procurement dataset for the project name — and two of those (Mud Creek 2B, Springbank Dam) gained a real, dated dollar-amount contract amendment on top of the original award, found this pass in the City's own</w:t>
      </w:r>
      <w:r>
        <w:t xml:space="preserve"> </w:t>
      </w:r>
      <w:r>
        <w:rPr>
          <w:i/>
          <w:iCs/>
        </w:rPr>
        <w:t xml:space="preserve">2025 Year-End Capital Budget Monitoring Report</w:t>
      </w:r>
      <w:r>
        <w:t xml:space="preserve"> </w:t>
      </w:r>
      <w:r>
        <w:t xml:space="preserve">(Infrastructure &amp; Corporate Services Committee, April 20 2026 agenda).</w:t>
      </w:r>
    </w:p>
    <w:p>
      <w:pPr>
        <w:pStyle w:val="BodyText"/>
      </w:pPr>
      <w:r>
        <w:rPr>
          <w:b/>
          <w:bCs/>
        </w:rPr>
        <w:t xml:space="preserve">Citywide capital-program health, for context — found this pass:</w:t>
      </w:r>
      <w:r>
        <w:t xml:space="preserve"> </w:t>
      </w:r>
      <w:r>
        <w:t xml:space="preserve">Citywide capital-program health, for context — found this pass The same Monitoring Report gives the program-level picture these six case files sit inside. Citywide capital commitments stood at $4.4 billion life-to-date , of which $2.5 billion (56.8%) was committed and $1.9 billion (43.2%) uncommitted ; staff's own assessment states no capital projects were identified as being at risk of being over budget citywide, and 67 completed projects ($141.4M in combined budget) were recommended for formal closure with a combined $990K surplus returned. 2025 capital spending was $422.8M (up from $398.4M in 2024), and 205 separate contract awards worth $308.8M were issued in 2025. On change orders specifically — the single field missing from every case file above — the report gives a program-wide rate rather than a per-project one: change orders as a share of total contract value rose from 4.3% in 2024 to 5.61% in 2025 , attributed mainly to a limited number of higher-value contingency items (major dewatering requirements, post-tender underground-infrastructure replacement) plus a construction season that ran later into the fall; unused contingency is returned to program budgets at project closeout. This citywide "no projects at risk" and "contingency use remained low" framing sits in tension with the two specific project-level variances documented above (Springbank Dam's amendment, Mud Creek's funding gap) — both are real and sourced, and both are small enough in dollar terms relative to the $308.8M in 2025 awards that they would not necessarily register as a citywide risk flag even if they represent genuine local overruns. Neither reading cancels the other; they are different scales of the same system.</w:t>
      </w:r>
    </w:p>
    <w:bookmarkStart w:id="71" w:name="X59e8e2991d7701779d4ffe3471c4e45b59e703b"/>
    <w:p>
      <w:pPr>
        <w:pStyle w:val="Heading3"/>
      </w:pPr>
      <w:r>
        <w:t xml:space="preserve">1 — Mud Creek East Branch Phase 2 ("Mud Creek Phase 2B")</w:t>
      </w:r>
    </w:p>
    <w:p>
      <w:pPr>
        <w:pStyle w:val="FirstParagraph"/>
      </w:pPr>
      <w:r>
        <w:rPr>
          <w:b/>
          <w:bCs/>
        </w:rPr>
        <w:t xml:space="preserve">What it is:</w:t>
      </w:r>
      <w:r>
        <w:t xml:space="preserve"> </w:t>
      </w:r>
      <w:r>
        <w:t xml:space="preserve">stormwater channel reconstruction and a new triple culvert at Oxford Street, remediating erosion, conveyance and flooding deficiencies in the Mud Creek East subwatershed, between the CN rail line and Oxford Street. Environmental Assessment approved 2017; site preparation began fall 2025; construction continuing into summer 2026.</w:t>
      </w:r>
      <w:r>
        <w:br/>
      </w:r>
      <w:r>
        <w:rPr>
          <w:b/>
          <w:bCs/>
        </w:rPr>
        <w:t xml:space="preserve">Budget:</w:t>
      </w:r>
      <w:r>
        <w:t xml:space="preserve"> </w:t>
      </w:r>
      <w:r>
        <w:t xml:space="preserve">total project budget</w:t>
      </w:r>
      <w:r>
        <w:t xml:space="preserve"> </w:t>
      </w:r>
      <w:r>
        <w:rPr>
          <w:b/>
          <w:bCs/>
        </w:rPr>
        <w:t xml:space="preserve">$24,720,119</w:t>
      </w:r>
      <w:r>
        <w:t xml:space="preserve"> </w:t>
      </w:r>
      <w:r>
        <w:t xml:space="preserve">(DC ID DC19MS0001, project ID ES2681-2) — $9,098,951 from the City Services Reserve Fund, $15,621,168 tax/rate-supported and other sources, $0 DC-supported debt. 2025 actuals: $1,692,053 transferred to the capital fund, $2,873,913 tax/rate-supported spend, $61,718 from other financing sources.</w:t>
      </w:r>
      <w:r>
        <w:br/>
      </w:r>
      <w:r>
        <w:rPr>
          <w:b/>
          <w:bCs/>
        </w:rPr>
        <w:t xml:space="preserve">Award:</w:t>
      </w:r>
      <w:r>
        <w:t xml:space="preserve"> </w:t>
      </w:r>
      <w:r>
        <w:rPr>
          <w:b/>
          <w:bCs/>
        </w:rPr>
        <w:t xml:space="preserve">RFT-2024-060 "Mud Creek Phase 2B,"</w:t>
      </w:r>
      <w:r>
        <w:t xml:space="preserve"> </w:t>
      </w:r>
      <w:r>
        <w:t xml:space="preserve">awarded to</w:t>
      </w:r>
      <w:r>
        <w:t xml:space="preserve"> </w:t>
      </w:r>
      <w:r>
        <w:rPr>
          <w:b/>
          <w:bCs/>
        </w:rPr>
        <w:t xml:space="preserve">Van Bree Infrastructure</w:t>
      </w:r>
      <w:r>
        <w:t xml:space="preserve"> </w:t>
      </w:r>
      <w:r>
        <w:t xml:space="preserve">for</w:t>
      </w:r>
      <w:r>
        <w:t xml:space="preserve"> </w:t>
      </w:r>
      <w:r>
        <w:rPr>
          <w:b/>
          <w:bCs/>
        </w:rPr>
        <w:t xml:space="preserve">$11,864,196.42</w:t>
      </w:r>
      <w:r>
        <w:t xml:space="preserve"> </w:t>
      </w:r>
      <w:r>
        <w:t xml:space="preserve">(2024). A companion tender, RFT-2023-128 "Mud Creek East Branch Phase 2A," went to Birnam Excavating Ltd (value not disclosed on the portal).</w:t>
      </w:r>
      <w:r>
        <w:br/>
      </w:r>
      <w:r>
        <w:rPr>
          <w:b/>
          <w:bCs/>
        </w:rPr>
        <w:t xml:space="preserve">Amendment — found this pass:</w:t>
      </w:r>
      <w:r>
        <w:t xml:space="preserve"> </w:t>
      </w:r>
      <w:r>
        <w:t xml:space="preserve">the City's own</w:t>
      </w:r>
      <w:r>
        <w:t xml:space="preserve"> </w:t>
      </w:r>
      <w:r>
        <w:rPr>
          <w:i/>
          <w:iCs/>
        </w:rPr>
        <w:t xml:space="preserve">2025 Year-End Capital Budget Monitoring Report</w:t>
      </w:r>
      <w:r>
        <w:t xml:space="preserve"> </w:t>
      </w:r>
      <w:r>
        <w:t xml:space="preserve">(Appendix A) logs a real, dated budget adjustment against RFT-2023-128 specifically:</w:t>
      </w:r>
      <w:r>
        <w:t xml:space="preserve"> </w:t>
      </w:r>
      <w:r>
        <w:rPr>
          <w:b/>
          <w:bCs/>
        </w:rPr>
        <w:t xml:space="preserve">+$801,114</w:t>
      </w:r>
      <w:r>
        <w:t xml:space="preserve"> </w:t>
      </w:r>
      <w:r>
        <w:t xml:space="preserve">for "Culvert Installation" (adjustment #24188, approved 2024-10-02).</w:t>
      </w:r>
      <w:r>
        <w:br/>
      </w:r>
      <w:r>
        <w:rPr>
          <w:b/>
          <w:bCs/>
        </w:rPr>
        <w:t xml:space="preserve">Unresolved:</w:t>
      </w:r>
      <w:r>
        <w:t xml:space="preserve"> </w:t>
      </w:r>
      <w:r>
        <w:t xml:space="preserve">the $24.72M total budget vs. the $11.86M disclosed Phase 2B award (+ $801K Phase 2A amendment) still leaves a meaningful gap unaccounted for by disclosed awards alone — plausibly design, land, contingency and the still-undisclosed Phase 2A base award value. No physical percent-complete published.</w:t>
      </w:r>
      <w:r>
        <w:br/>
      </w:r>
      <w:r>
        <w:rPr>
          <w:b/>
          <w:bCs/>
        </w:rPr>
        <w:t xml:space="preserve">Classification: partially reconciled.</w:t>
      </w:r>
      <w:r>
        <w:t xml:space="preserve"> </w:t>
      </w:r>
      <w:r>
        <w:t xml:space="preserve">Budget, award vendor, award amount and one real dated amendment are now all traceable to primary sources — a genuine authority→budget→tender→award→amendment chain, missing only final cost and closeout.</w:t>
      </w:r>
    </w:p>
    <w:bookmarkEnd w:id="71"/>
    <w:bookmarkStart w:id="72" w:name="X12784372b573d570d00be7ae4fae0f3f378f36e"/>
    <w:p>
      <w:pPr>
        <w:pStyle w:val="Heading3"/>
      </w:pPr>
      <w:r>
        <w:t xml:space="preserve">2 — Springbank Dam closed end-to-end, authority through output, this pass</w:t>
      </w:r>
    </w:p>
    <w:p>
      <w:pPr>
        <w:pStyle w:val="FirstParagraph"/>
      </w:pPr>
      <w:r>
        <w:rPr>
          <w:b/>
          <w:bCs/>
        </w:rPr>
        <w:t xml:space="preserve">What it is:</w:t>
      </w:r>
      <w:r>
        <w:t xml:space="preserve"> </w:t>
      </w:r>
      <w:r>
        <w:t xml:space="preserve">a decades-long saga — the dam's gates failed in 2008; the City sued the gate manufacturer for $5.2M and settled for $3.77M in December 2015; Council voted for partial removal in May 2019 ("Back to the River" Stage 1: partial dam removal plus a walkway and amphitheatre); full decommissioning proceeded in 2024. This is the one case file this edition pushed to a genuine forensic close this pass — not every field, but every field a member of the public can plausibly obtain without a records request.</w:t>
      </w:r>
    </w:p>
    <w:p>
      <w:pPr>
        <w:pStyle w:val="BodyText"/>
      </w:pPr>
      <w:r>
        <w:rPr>
          <w:b/>
          <w:bCs/>
        </w:rPr>
        <w:t xml:space="preserve">1. Original authority:</w:t>
      </w:r>
      <w:r>
        <w:t xml:space="preserve"> </w:t>
      </w:r>
      <w:r>
        <w:t xml:space="preserve">the</w:t>
      </w:r>
      <w:r>
        <w:t xml:space="preserve"> </w:t>
      </w:r>
      <w:r>
        <w:rPr>
          <w:i/>
          <w:iCs/>
        </w:rPr>
        <w:t xml:space="preserve">One River Master Plan Environmental Assessment</w:t>
      </w:r>
      <w:r>
        <w:t xml:space="preserve"> </w:t>
      </w:r>
      <w:r>
        <w:t xml:space="preserve">(Notice of Completion, Civic Works Committee, May 14, 2019) recommended partial removal; a documented 15-report authority chain runs from a December 2015 "Back to the River" design competition through a January 19, 2021 consulting-engineer appointment to a May 22, 2024 contract-administration award — all individually named and dated in the April 30, 2025 amendment report's own "Previous Reports" section.</w:t>
      </w:r>
      <w:r>
        <w:br/>
      </w:r>
      <w:r>
        <w:rPr>
          <w:b/>
          <w:bCs/>
        </w:rPr>
        <w:t xml:space="preserve">2. Original budget — real, granular, found this pass:</w:t>
      </w:r>
      <w:r>
        <w:t xml:space="preserve"> </w:t>
      </w:r>
      <w:r>
        <w:t xml:space="preserve">the project draws on</w:t>
      </w:r>
      <w:r>
        <w:t xml:space="preserve"> </w:t>
      </w:r>
      <w:r>
        <w:rPr>
          <w:b/>
          <w:bCs/>
        </w:rPr>
        <w:t xml:space="preserve">two</w:t>
      </w:r>
      <w:r>
        <w:t xml:space="preserve"> </w:t>
      </w:r>
      <w:r>
        <w:t xml:space="preserve">capital sub-projects, not one lump sum:</w:t>
      </w:r>
      <w:r>
        <w:t xml:space="preserve"> </w:t>
      </w:r>
      <w:r>
        <w:rPr>
          <w:b/>
          <w:bCs/>
        </w:rPr>
        <w:t xml:space="preserve">ES2474</w:t>
      </w:r>
      <w:r>
        <w:t xml:space="preserve"> </w:t>
      </w:r>
      <w:r>
        <w:t xml:space="preserve">("UTRCA – Remediating Flood Control Works Within City Limits," $32,054,669 total budget: Engineering $9.84M, Land Acquisition $12,211, Construction $22.09M, City-related expenses $104,306) and</w:t>
      </w:r>
      <w:r>
        <w:t xml:space="preserve"> </w:t>
      </w:r>
      <w:r>
        <w:rPr>
          <w:b/>
          <w:bCs/>
        </w:rPr>
        <w:t xml:space="preserve">ES2452</w:t>
      </w:r>
      <w:r>
        <w:t xml:space="preserve"> </w:t>
      </w:r>
      <w:r>
        <w:t xml:space="preserve">("Stormwater Monitoring Program," $2,830,648). Combined budget authority:</w:t>
      </w:r>
      <w:r>
        <w:t xml:space="preserve"> </w:t>
      </w:r>
      <w:r>
        <w:rPr>
          <w:b/>
          <w:bCs/>
        </w:rPr>
        <w:t xml:space="preserve">$34,885,317</w:t>
      </w:r>
      <w:r>
        <w:t xml:space="preserve"> </w:t>
      </w:r>
      <w:r>
        <w:t xml:space="preserve">— financed by Capital Sewer Rates, Debenture By-law No. W.-5610-251, a drawdown from the Sewage Works Renewal Reserve Fund, and a small provincial SuperBuild grant. This is a materially fuller and more precise budget picture than the "~$14.6M Stage 1 / ~$3M news estimate" figures this edition previously relied on — those news figures were real but were a much narrower slice (the decommissioning construction line specifically, not the full flood-control-works capital authority it sits inside).</w:t>
      </w:r>
      <w:r>
        <w:br/>
      </w:r>
      <w:r>
        <w:rPr>
          <w:b/>
          <w:bCs/>
        </w:rPr>
        <w:t xml:space="preserve">3. Tender and bids:</w:t>
      </w:r>
      <w:r>
        <w:t xml:space="preserve"> </w:t>
      </w:r>
      <w:r>
        <w:t xml:space="preserve">RFT-2024-070, "Springbank Dam Decommissioning and Bank Restoration," tendered spring 2024. Multiple bids were received — the exact bid table wasn't located, but the April 30, 2025 amendment report states explicitly that even after the 2025 amendment,</w:t>
      </w:r>
      <w:r>
        <w:t xml:space="preserve"> </w:t>
      </w:r>
      <w:r>
        <w:rPr>
          <w:b/>
          <w:bCs/>
        </w:rPr>
        <w:t xml:space="preserve">total construction costs remain below the second-lowest bid received in the original 2024 tender</w:t>
      </w:r>
      <w:r>
        <w:t xml:space="preserve"> </w:t>
      </w:r>
      <w:r>
        <w:t xml:space="preserve">— a real, specific competitive-price comparator, not this review's inference.</w:t>
      </w:r>
      <w:r>
        <w:br/>
      </w:r>
      <w:r>
        <w:rPr>
          <w:b/>
          <w:bCs/>
        </w:rPr>
        <w:t xml:space="preserve">4. Award:</w:t>
      </w:r>
      <w:r>
        <w:t xml:space="preserve"> </w:t>
      </w:r>
      <w:r>
        <w:t xml:space="preserve">awarded administratively (below the Council-approval threshold in effect) to</w:t>
      </w:r>
      <w:r>
        <w:t xml:space="preserve"> </w:t>
      </w:r>
      <w:r>
        <w:rPr>
          <w:b/>
          <w:bCs/>
        </w:rPr>
        <w:t xml:space="preserve">2220742 Ontario Ltd o/a Bronte Construction</w:t>
      </w:r>
      <w:r>
        <w:t xml:space="preserve"> </w:t>
      </w:r>
      <w:r>
        <w:t xml:space="preserve">for</w:t>
      </w:r>
      <w:r>
        <w:t xml:space="preserve"> </w:t>
      </w:r>
      <w:r>
        <w:rPr>
          <w:b/>
          <w:bCs/>
        </w:rPr>
        <w:t xml:space="preserve">$4,350,861.56</w:t>
      </w:r>
      <w:r>
        <w:t xml:space="preserve">, June 2024.</w:t>
      </w:r>
      <w:r>
        <w:br/>
      </w:r>
      <w:r>
        <w:rPr>
          <w:b/>
          <w:bCs/>
        </w:rPr>
        <w:t xml:space="preserve">5. Change order / amendment — found this pass, in full:</w:t>
      </w:r>
      <w:r>
        <w:t xml:space="preserve"> </w:t>
      </w:r>
      <w:r>
        <w:t xml:space="preserve">Report to Infrastructure and Corporate Services Committee, "Springbank Dam Contract Amendment," April 30, 2025 (Kelly Scherr, Deputy City Manager, Environment and Infrastructure) — the actual engineering justification, not just the dollar figure. During construction, a "Bridge Master" inspection apparatus found the concrete deck in worse condition than originally assessed; structural engineers determined a temporary patch (lasting ~5 years) would need repairs across</w:t>
      </w:r>
      <w:r>
        <w:t xml:space="preserve"> </w:t>
      </w:r>
      <w:r>
        <w:rPr>
          <w:b/>
          <w:bCs/>
        </w:rPr>
        <w:t xml:space="preserve">six times</w:t>
      </w:r>
      <w:r>
        <w:t xml:space="preserve"> </w:t>
      </w:r>
      <w:r>
        <w:t xml:space="preserve">the originally estimated area (≈$600,000, up from a $100,000 original estimate) plus ≈$400,000 to remobilize and re-establish dewatering/river access — versus removing the deck permanently now while river-access equipment was already mobilized. The City chose full removal as the better long-term value.</w:t>
      </w:r>
      <w:r>
        <w:br/>
      </w:r>
      <w:r>
        <w:rPr>
          <w:b/>
          <w:bCs/>
        </w:rPr>
        <w:t xml:space="preserve">6. Contingency authorization:</w:t>
      </w:r>
      <w:r>
        <w:t xml:space="preserve"> </w:t>
      </w:r>
      <w:r>
        <w:t xml:space="preserve">approved under Procurement Policy Section 20.3(e) (construction, "the following actions BE TAKEN") and Section 15.2(g) (consulting); all amendment figures explicitly "include contingencies," with a stated 10% contingency on the Stantec fee components.</w:t>
      </w:r>
      <w:r>
        <w:br/>
      </w:r>
      <w:r>
        <w:rPr>
          <w:b/>
          <w:bCs/>
        </w:rPr>
        <w:t xml:space="preserve">7. The $2,019,027 amendment, fully decomposed — this closes the exact figure this edition already had:</w:t>
      </w:r>
      <w:r>
        <w:t xml:space="preserve"> </w:t>
      </w:r>
      <w:r>
        <w:t xml:space="preserve">Bronte Construction construction-contract increase $1,649,048.54 (excl. HST) — new total contract value $5,999,910.10; Stantec Consulting extended contract-administration/resident-inspection fee for the second construction year, $221,458.00; Stantec Consulting post-construction mussel-monitoring fee (a 2-year DFO requirement tied to 1,274 relocated mussels found during construction, separate from the decommissioning work itself), $113,600.00. Net of HST and the HST rebate, these three line items reconcile to exactly</w:t>
      </w:r>
      <w:r>
        <w:t xml:space="preserve"> </w:t>
      </w:r>
      <w:r>
        <w:rPr>
          <w:b/>
          <w:bCs/>
        </w:rPr>
        <w:t xml:space="preserve">$2,019,027</w:t>
      </w:r>
      <w:r>
        <w:t xml:space="preserve"> </w:t>
      </w:r>
      <w:r>
        <w:t xml:space="preserve">— the figure this edition already had, now fully sourced to its component parts rather than a single opaque line.</w:t>
      </w:r>
      <w:r>
        <w:br/>
      </w:r>
      <w:r>
        <w:rPr>
          <w:b/>
          <w:bCs/>
        </w:rPr>
        <w:t xml:space="preserve">8. Output, as of the amendment report (April 30, 2025):</w:t>
      </w:r>
      <w:r>
        <w:t xml:space="preserve"> </w:t>
      </w:r>
      <w:r>
        <w:t xml:space="preserve">mussel relocation complete; 175m of south-bank restoration complete; 1 of 4 gates removed; remaining 3 gates and the concrete-deck removal scheduled for summer 2025, targeted for completion "by the end of this year" (2025).</w:t>
      </w:r>
      <w:r>
        <w:br/>
      </w:r>
      <w:r>
        <w:rPr>
          <w:b/>
          <w:bCs/>
        </w:rPr>
        <w:t xml:space="preserve">What remains genuinely unavailable, not merely unsearched — the honest final 30%:</w:t>
      </w:r>
      <w:r>
        <w:t xml:space="preserve"> </w:t>
      </w:r>
      <w:r>
        <w:t xml:space="preserve">no invoices, payment certificates, Notice/Certificate of Substantial Performance, final completion certificate, or final reconciled project cost were located publicly. One promising lead — a Certificate of Substantial Performance dated October 31, 2025 found on Ontario's construction-notice registry (constructconnect.com) — was checked directly and ruled out: it belongs to an unrelated water-treatment-plant project in Springwater Township, not Springbank Dam. Just as notably: the City's own public project page (getinvolved.london.ca/springbankdam) has not been updated since the "May 2025 UPDATE" as of this evidence lock (2026-08-20) — fifteen months after that update, and roughly ten months past the project's own October 2025 completion target, with no newer public status posted. Whether the project has physically reached substantial completion is, as far as this review can establish from the public record, genuinely unknown.</w:t>
      </w:r>
      <w:r>
        <w:br/>
      </w:r>
      <w:r>
        <w:rPr>
          <w:b/>
          <w:bCs/>
        </w:rPr>
        <w:t xml:space="preserve">Classification: end-to-end reconciled through output; genuinely closed on everything short of final cost and completion status.</w:t>
      </w:r>
      <w:r>
        <w:t xml:space="preserve"> </w:t>
      </w:r>
      <w:r>
        <w:t xml:space="preserve">Authority, budget (both sub-projects), tender, competitive-bid context, award, the full engineering justification for the amendment, contingency authorization, and a complete dollar reconciliation of the amendment are all now sourced to named, dated primary documents. A draft MFIPPA request for the three remaining fields (payment certificates/invoices, the Notice/Certificate of Substantial Performance, and final reconciled project cost) follows below, after all six case files.</w:t>
      </w:r>
    </w:p>
    <w:bookmarkEnd w:id="72"/>
    <w:bookmarkStart w:id="73" w:name="X3d44ba05a2e3374b17e955396a35d75a30339f9"/>
    <w:p>
      <w:pPr>
        <w:pStyle w:val="Heading3"/>
      </w:pPr>
      <w:r>
        <w:t xml:space="preserve">3 — Wharncliffe Road South / Horton-Wharncliffe Intersection</w:t>
      </w:r>
    </w:p>
    <w:p>
      <w:pPr>
        <w:pStyle w:val="FirstParagraph"/>
      </w:pPr>
      <w:r>
        <w:rPr>
          <w:b/>
          <w:bCs/>
        </w:rPr>
        <w:t xml:space="preserve">What it is:</w:t>
      </w:r>
      <w:r>
        <w:t xml:space="preserve"> </w:t>
      </w:r>
      <w:r>
        <w:t xml:space="preserve">widening Wharncliffe Road South and replacing a CN rail grade-separation overpass; under study since 2014.</w:t>
      </w:r>
      <w:r>
        <w:br/>
      </w:r>
      <w:r>
        <w:rPr>
          <w:b/>
          <w:bCs/>
        </w:rPr>
        <w:t xml:space="preserve">Budget:</w:t>
      </w:r>
      <w:r>
        <w:t xml:space="preserve"> </w:t>
      </w:r>
      <w:r>
        <w:t xml:space="preserve">total project</w:t>
      </w:r>
      <w:r>
        <w:t xml:space="preserve"> </w:t>
      </w:r>
      <w:r>
        <w:rPr>
          <w:b/>
          <w:bCs/>
        </w:rPr>
        <w:t xml:space="preserve">$90M</w:t>
      </w:r>
      <w:r>
        <w:t xml:space="preserve">. As of a January 20, 2026 report, the project carries a</w:t>
      </w:r>
      <w:r>
        <w:t xml:space="preserve"> </w:t>
      </w:r>
      <w:r>
        <w:rPr>
          <w:b/>
          <w:bCs/>
        </w:rPr>
        <w:t xml:space="preserve">$39.6M funding gap</w:t>
      </w:r>
      <w:r>
        <w:t xml:space="preserve"> </w:t>
      </w:r>
      <w:r>
        <w:t xml:space="preserve">and no start date. Planned financing: ~$21M development charges, ~$6M from CN, ~$12.5M borrowing. Council declined to fund the gap in the last four-year budget cycle; cost estimates were, as of that report, two years old and due for updating. The City has separately moved to expropriate three businesses on Wharncliffe Road South.</w:t>
      </w:r>
      <w:r>
        <w:br/>
      </w:r>
      <w:r>
        <w:rPr>
          <w:b/>
          <w:bCs/>
        </w:rPr>
        <w:t xml:space="preserve">Cross-check:</w:t>
      </w:r>
      <w:r>
        <w:t xml:space="preserve"> </w:t>
      </w:r>
      <w:r>
        <w:t xml:space="preserve">the 2025 DC Reserve Fund report does</w:t>
      </w:r>
      <w:r>
        <w:t xml:space="preserve"> </w:t>
      </w:r>
      <w:r>
        <w:rPr>
          <w:i/>
          <w:iCs/>
        </w:rPr>
        <w:t xml:space="preserve">not</w:t>
      </w:r>
      <w:r>
        <w:t xml:space="preserve"> </w:t>
      </w:r>
      <w:r>
        <w:t xml:space="preserve">show this project funded at the $90M scale — it shows only a much smaller, separate "Wharncliffe Road Improvements" line (Becher St. to Commissioners Rd., $374,337 total budget), confirming the big intersection project is real but currently unfunded, not merely unreported.</w:t>
      </w:r>
      <w:r>
        <w:br/>
      </w:r>
      <w:r>
        <w:rPr>
          <w:b/>
          <w:bCs/>
        </w:rPr>
        <w:t xml:space="preserve">Unresolved:</w:t>
      </w:r>
      <w:r>
        <w:t xml:space="preserve"> </w:t>
      </w:r>
      <w:r>
        <w:t xml:space="preserve">original council authorization report number/date not pulled; no procurement has occurred because construction hasn't been funded.</w:t>
      </w:r>
      <w:r>
        <w:br/>
      </w:r>
      <w:r>
        <w:rPr>
          <w:b/>
          <w:bCs/>
        </w:rPr>
        <w:t xml:space="preserve">A second, unrelated "Wharncliffe" project — found this pass:</w:t>
      </w:r>
      <w:r>
        <w:t xml:space="preserve"> </w:t>
      </w:r>
      <w:r>
        <w:t xml:space="preserve">the same 2025 Year-End Capital Budget Monitoring Report shows a real, funded, awarded tender under adjustment #25083 (approved 2025-05-26):</w:t>
      </w:r>
      <w:r>
        <w:t xml:space="preserve"> </w:t>
      </w:r>
      <w:r>
        <w:rPr>
          <w:b/>
          <w:bCs/>
        </w:rPr>
        <w:t xml:space="preserve">RFT-2025-087, "Bradley Avenue Extension &amp; White Oaks Tributary Complete Corridor from Wharncliffe Road South..."</w:t>
      </w:r>
      <w:r>
        <w:t xml:space="preserve"> </w:t>
      </w:r>
      <w:r>
        <w:t xml:space="preserve">— split across three departments (Transportation Services $17,122,049, Wastewater and Treatment $5,569,495, Water $912,705; total</w:t>
      </w:r>
      <w:r>
        <w:t xml:space="preserve"> </w:t>
      </w:r>
      <w:r>
        <w:rPr>
          <w:b/>
          <w:bCs/>
        </w:rPr>
        <w:t xml:space="preserve">$23,604,249</w:t>
      </w:r>
      <w:r>
        <w:t xml:space="preserve">). This is</w:t>
      </w:r>
      <w:r>
        <w:t xml:space="preserve"> </w:t>
      </w:r>
      <w:r>
        <w:rPr>
          <w:i/>
          <w:iCs/>
        </w:rPr>
        <w:t xml:space="preserve">not</w:t>
      </w:r>
      <w:r>
        <w:t xml:space="preserve"> </w:t>
      </w:r>
      <w:r>
        <w:t xml:space="preserve">the $90M Horton-Wharncliffe intersection above — it is a separate corridor project that merely touches Wharncliffe Road South at one end, already funded and under contract, unlike the intersection. A third, much smaller Wharncliffe-named line also appears (adjustment #25084, "Junior Achievement Centre – Wharncliffe Road North," $61,056) — a corporate real-estate item, not a road project. Flagged explicitly, on the same logic as the Highbury naming trap below, so the two "Wharncliffe" projects and their very different funding status are never conflated.</w:t>
      </w:r>
      <w:r>
        <w:br/>
      </w:r>
      <w:r>
        <w:rPr>
          <w:b/>
          <w:bCs/>
        </w:rPr>
        <w:t xml:space="preserve">Classification: disclosure gap, not misspending</w:t>
      </w:r>
      <w:r>
        <w:t xml:space="preserve"> </w:t>
      </w:r>
      <w:r>
        <w:t xml:space="preserve">— the gap itself, and the reasons Council declined to close it, are the public story here. (The Bradley Avenue Extension tender is separately reconciled: funded, tendered and awarded, with no gap.)</w:t>
      </w:r>
    </w:p>
    <w:bookmarkEnd w:id="73"/>
    <w:bookmarkStart w:id="74" w:name="operating-budget-contingency-reserve"/>
    <w:p>
      <w:pPr>
        <w:pStyle w:val="Heading3"/>
      </w:pPr>
      <w:r>
        <w:t xml:space="preserve">4 — Operating Budget Contingency Reserve</w:t>
      </w:r>
    </w:p>
    <w:p>
      <w:pPr>
        <w:pStyle w:val="FirstParagraph"/>
      </w:pPr>
      <w:r>
        <w:rPr>
          <w:b/>
          <w:bCs/>
        </w:rPr>
        <w:t xml:space="preserve">What it is:</w:t>
      </w:r>
      <w:r>
        <w:t xml:space="preserve"> </w:t>
      </w:r>
      <w:r>
        <w:t xml:space="preserve">the City's reserve against unbudgeted in-year operating pressures, policy-targeted at two months of the tax-supported net budget.</w:t>
      </w:r>
      <w:r>
        <w:br/>
      </w:r>
      <w:r>
        <w:rPr>
          <w:b/>
          <w:bCs/>
        </w:rPr>
        <w:t xml:space="preserve">Budget:</w:t>
      </w:r>
      <w:r>
        <w:t xml:space="preserve"> </w:t>
      </w:r>
      <w:r>
        <w:t xml:space="preserve">in 2018, the balance was $35.18M against a $96.59M target — $51.48M under target. By the 2024 audited financial statements (§11), the closest matching line — "Reserves set aside by Council: Contingencies" — stood at</w:t>
      </w:r>
      <w:r>
        <w:t xml:space="preserve"> </w:t>
      </w:r>
      <w:r>
        <w:rPr>
          <w:b/>
          <w:bCs/>
        </w:rPr>
        <w:t xml:space="preserve">$109.8M</w:t>
      </w:r>
      <w:r>
        <w:t xml:space="preserve"> </w:t>
      </w:r>
      <w:r>
        <w:t xml:space="preserve">(2023: $113.5M), which is not confirmed to be the identical fund referenced in the 2018 committee report, but is the best available cross-check. A separate 2024 year-end report states $16.6M was retained specifically to fund statutory DC-exemption shortfalls — the same pressure documented in §10 — with the rest allocated per the City's Surplus/Deficit Policy.</w:t>
      </w:r>
      <w:r>
        <w:br/>
      </w:r>
      <w:r>
        <w:rPr>
          <w:b/>
          <w:bCs/>
        </w:rPr>
        <w:t xml:space="preserve">Unresolved:</w:t>
      </w:r>
      <w:r>
        <w:t xml:space="preserve"> </w:t>
      </w:r>
      <w:r>
        <w:t xml:space="preserve">no single document ties the 2018 policy-target framework to the 2024 audited-statement figure with certainty; that reconciliation is the next step.</w:t>
      </w:r>
      <w:r>
        <w:br/>
      </w:r>
      <w:r>
        <w:rPr>
          <w:b/>
          <w:bCs/>
        </w:rPr>
        <w:t xml:space="preserve">Classification: reconciled, with a caveat</w:t>
      </w:r>
      <w:r>
        <w:t xml:space="preserve"> </w:t>
      </w:r>
      <w:r>
        <w:t xml:space="preserve">— the reserve appears healthier in 2024 than in 2018, but confirming that requires matching two different accounting presentations, not yet done here.</w:t>
      </w:r>
    </w:p>
    <w:bookmarkEnd w:id="74"/>
    <w:bookmarkStart w:id="75" w:name="X804e6de1ad7ddc6703650fc7a0b4a62b13b9d5d"/>
    <w:p>
      <w:pPr>
        <w:pStyle w:val="Heading3"/>
      </w:pPr>
      <w:r>
        <w:t xml:space="preserve">5 — "Highway 401 Interchange": not a City capital expense</w:t>
      </w:r>
    </w:p>
    <w:p>
      <w:pPr>
        <w:pStyle w:val="FirstParagraph"/>
      </w:pPr>
      <w:r>
        <w:t xml:space="preserve">This lead does not check out the way it was framed. The Highway 401 / Highway 4 (Colonel Talbot Road) interchange and Glanworth Drive underpass is a</w:t>
      </w:r>
      <w:r>
        <w:t xml:space="preserve"> </w:t>
      </w:r>
      <w:r>
        <w:rPr>
          <w:b/>
          <w:bCs/>
        </w:rPr>
        <w:t xml:space="preserve">provincial (MTO) project</w:t>
      </w:r>
      <w:r>
        <w:t xml:space="preserve">, not a City one — the Ministry of Transportation of Ontario funds the design, construction and land acquisition entirely. The City's only involvement, per a January 19, 2021 Civic Works Committee report, was endorsing municipal road closures required by the provincial work; the Environmental Assessment was approved August 31, 2020. A separate Wonderland Road/401 interchange project also exists, but no City cost-share figure for it was located either.</w:t>
      </w:r>
      <w:r>
        <w:br/>
      </w:r>
      <w:r>
        <w:rPr>
          <w:b/>
          <w:bCs/>
        </w:rPr>
        <w:t xml:space="preserve">Classification: not a City finding.</w:t>
      </w:r>
      <w:r>
        <w:t xml:space="preserve"> </w:t>
      </w:r>
      <w:r>
        <w:t xml:space="preserve">If City spending on a 401-adjacent project is the actual concern, the lead needs to be re-specified — this one traces to the wrong level of government.</w:t>
      </w:r>
    </w:p>
    <w:bookmarkEnd w:id="75"/>
    <w:bookmarkStart w:id="76" w:name="Xeb4bc9fff5cd1239f7c34f7e350f2884b2527cf"/>
    <w:p>
      <w:pPr>
        <w:pStyle w:val="Heading3"/>
      </w:pPr>
      <w:r>
        <w:t xml:space="preserve">6 — Greenway Flood Protection ("UTRCA Remediating Flood," ES2474) — new this pass</w:t>
      </w:r>
    </w:p>
    <w:p>
      <w:pPr>
        <w:pStyle w:val="FirstParagraph"/>
      </w:pPr>
      <w:r>
        <w:rPr>
          <w:b/>
          <w:bCs/>
        </w:rPr>
        <w:t xml:space="preserve">What it is:</w:t>
      </w:r>
      <w:r>
        <w:t xml:space="preserve"> </w:t>
      </w:r>
      <w:r>
        <w:t xml:space="preserve">flood-protection works at the Greenway Wastewater Treatment Plant, one of the two Wastewater-fund Service Improvement projects named alongside the top-five in §3.</w:t>
      </w:r>
      <w:r>
        <w:br/>
      </w:r>
      <w:r>
        <w:rPr>
          <w:b/>
          <w:bCs/>
        </w:rPr>
        <w:t xml:space="preserve">Budget:</w:t>
      </w:r>
      <w:r>
        <w:t xml:space="preserve"> </w:t>
      </w:r>
      <w:r>
        <w:t xml:space="preserve">$54,856,988 over 2024–2033 (2024–2027 Multi-Year capital-plan-by-project workbook).</w:t>
      </w:r>
      <w:r>
        <w:br/>
      </w:r>
      <w:r>
        <w:rPr>
          <w:b/>
          <w:bCs/>
        </w:rPr>
        <w:t xml:space="preserve">Award:</w:t>
      </w:r>
      <w:r>
        <w:t xml:space="preserve"> </w:t>
      </w:r>
      <w:r>
        <w:rPr>
          <w:b/>
          <w:bCs/>
        </w:rPr>
        <w:t xml:space="preserve">RFT-2024-084 "Greenway Flood Protection Services for City of London,"</w:t>
      </w:r>
      <w:r>
        <w:t xml:space="preserve"> </w:t>
      </w:r>
      <w:r>
        <w:t xml:space="preserve">awarded to</w:t>
      </w:r>
      <w:r>
        <w:t xml:space="preserve"> </w:t>
      </w:r>
      <w:r>
        <w:rPr>
          <w:b/>
          <w:bCs/>
        </w:rPr>
        <w:t xml:space="preserve">Stone Town Construction Limited</w:t>
      </w:r>
      <w:r>
        <w:t xml:space="preserve"> </w:t>
      </w:r>
      <w:r>
        <w:t xml:space="preserve">for</w:t>
      </w:r>
      <w:r>
        <w:t xml:space="preserve"> </w:t>
      </w:r>
      <w:r>
        <w:rPr>
          <w:b/>
          <w:bCs/>
        </w:rPr>
        <w:t xml:space="preserve">$24,477,992.06</w:t>
      </w:r>
      <w:r>
        <w:t xml:space="preserve"> </w:t>
      </w:r>
      <w:r>
        <w:t xml:space="preserve">(2024) — well within the multi-year envelope, consistent with one construction phase of a larger program rather than an overrun signal. Multiple design/consulting tenders (RFP-2022-196, RFQUAL-2022-165) precede it, showing a real design-to-construction chain.</w:t>
      </w:r>
      <w:r>
        <w:br/>
      </w:r>
      <w:r>
        <w:rPr>
          <w:b/>
          <w:bCs/>
        </w:rPr>
        <w:t xml:space="preserve">Unresolved:</w:t>
      </w:r>
      <w:r>
        <w:t xml:space="preserve"> </w:t>
      </w:r>
      <w:r>
        <w:t xml:space="preserve">change-order history and final cost not located.</w:t>
      </w:r>
      <w:r>
        <w:t xml:space="preserve"> </w:t>
      </w:r>
      <w:r>
        <w:rPr>
          <w:b/>
          <w:bCs/>
        </w:rPr>
        <w:t xml:space="preserve">A cross-check finding, surfaced this pass:</w:t>
      </w:r>
      <w:r>
        <w:t xml:space="preserve"> </w:t>
      </w:r>
      <w:r>
        <w:t xml:space="preserve">the Springbank Dam amendment report (case file 2, above) names the same project code, ES2474, as one of its two financing sources — but states its total budget as</w:t>
      </w:r>
      <w:r>
        <w:t xml:space="preserve"> </w:t>
      </w:r>
      <w:r>
        <w:rPr>
          <w:b/>
          <w:bCs/>
        </w:rPr>
        <w:t xml:space="preserve">$32,054,669</w:t>
      </w:r>
      <w:r>
        <w:t xml:space="preserve">, sourced from the April 30, 2025 Sources-of-Financing appendix, not the $54,856,988 figure above from the Multi-Year capital-plan workbook. Both figures are real and independently sourced; they have not been reconciled with each other. The most likely explanation is that ES2474 is a broader, umbrella "flood control works" capital project funding multiple distinct activities (Springbank Dam decommissioning and Greenway flood protection both draw on it) and the two figures are different accounting snapshots or scopes, not a contradiction — but that is this review's inference, not a confirmed fact. Flagged explicitly rather than silently resolved in either direction.</w:t>
      </w:r>
      <w:r>
        <w:br/>
      </w:r>
      <w:r>
        <w:rPr>
          <w:b/>
          <w:bCs/>
        </w:rPr>
        <w:t xml:space="preserve">Classification: reconciled on its own terms; budget figure now flagged against a second, real, unreconciled source.</w:t>
      </w:r>
      <w:r>
        <w:t xml:space="preserve"> </w:t>
      </w:r>
      <w:r>
        <w:t xml:space="preserve">Budget, award and design chain are internally consistent — the cleanest single-source case of the six — but the ES2474 cross-reference above means "reconciled" should not be read as "the only real budget figure for this project code."</w:t>
      </w:r>
    </w:p>
    <w:p>
      <w:pPr>
        <w:pStyle w:val="BodyText"/>
      </w:pPr>
      <w:r>
        <w:rPr>
          <w:b/>
          <w:bCs/>
        </w:rPr>
        <w:t xml:space="preserve">SOURCE LOCK:</w:t>
      </w:r>
      <w:r>
        <w:t xml:space="preserve"> </w:t>
      </w:r>
      <w:r>
        <w:t xml:space="preserve">SOURCE LOCK City of London, 2025 Annual Report on Development Charges Reserve Funds — Table 24 (p.43), Table 3 (p.9). City of London, 2025 Year-End Capital Budget Monitoring Report , in the Infrastructure &amp; Corporate Services Committee agenda of April 20, 2026 (DocumentId=123216, pub-london.escribemeetings.com) — report body pp.89–101 (citywide health metrics, change-order rate) and Appendix A pp.102–103 (per-transaction adjustment table: #24188 Mud Creek Culvert Installation, #25065 Springbank Dam Contract Amendment, #25083 RFT-2025-087 Bradley Avenue Extension &amp; White Oaks Tributary, #25084 Junior Achievement Centre), plus its Executive Summary pp.5–6 (East London Link – Highbury Bridge Widening, Highbury Rail Bridge). City of London, Report to Infrastructure and Corporate Services Committee, "Springbank Dam Contract Amendment," April 30, 2025, Kelly Scherr, Deputy City Manager, Environment and Infrastructure (pub-london.escribemeetings.com, DocumentId=115711) — full 8-page report plus Appendix A Sources-of-Financing retrieved and read. City of London Bids and Tenders portal — RFT-2024-060, RFT-2023-128, RFT-2024-070, RFT-2024-084 (this review's own 1,978-record procurement dataset, §9). CBC News, "Funding gap leaves Horton-Wharncliffe intersection upgrade with no start date," Jan 20, 2026. Global News, "Report pegs cost of Stage 1 of Back to the River at $14.6M," and "City decommissioning Springbank Dam." City of London Civic Works Committee report, Jan 19, 2021 (pub-london.escribemeetings.com). City of London Corporate Services Committee report, Sept 25, 2018, and Infrastructure &amp; Corporate Services Committee 2024 year-end report (pub-london.escribemeetings.com). getinvolved.london.ca/springbankdam, project update page, checked 2026-08-20.</w:t>
      </w:r>
    </w:p>
    <w:bookmarkEnd w:id="76"/>
    <w:bookmarkStart w:id="77" w:name="Xd8f25a8b72801814c0e983279b9b664ced69cfe"/>
    <w:p>
      <w:pPr>
        <w:pStyle w:val="Heading3"/>
      </w:pPr>
      <w:r>
        <w:t xml:space="preserve">A draft records request for what public search couldn't close</w:t>
      </w:r>
    </w:p>
    <w:p>
      <w:pPr>
        <w:pStyle w:val="FirstParagraph"/>
      </w:pPr>
      <w:r>
        <w:t xml:space="preserve">Three fields for Springbank Dam remain genuinely unavailable from the public record after a thorough search this pass: payment certificates/invoices, the Notice or Certificate of Substantial Performance, and the final reconciled project cost. Rather than leave that as a dead end, here is a ready-to-file Municipal Freedom of Information and Protection of Privacy Act (MFIPPA) request scoped to exactly those three items — surgical, not a fishing expedition:</w:t>
      </w:r>
    </w:p>
    <w:p>
      <w:pPr>
        <w:pStyle w:val="BlockText"/>
      </w:pPr>
      <w:r>
        <w:t xml:space="preserve">Under the</w:t>
      </w:r>
      <w:r>
        <w:t xml:space="preserve"> </w:t>
      </w:r>
      <w:r>
        <w:rPr>
          <w:i/>
          <w:iCs/>
        </w:rPr>
        <w:t xml:space="preserve">Municipal Freedom of Information and Protection of Privacy Act</w:t>
      </w:r>
      <w:r>
        <w:t xml:space="preserve">, I am requesting the following records related to RFT-2024-070, "Springbank Dam Decommissioning and Bank Restoration" (contractor: 2220742 Ontario Ltd o/a Bronte Construction), and its April 30, 2025 contract amendment (Source of Financing #25065):</w:t>
      </w:r>
      <w:r>
        <w:br/>
      </w:r>
      <w:r>
        <w:br/>
      </w:r>
      <w:r>
        <w:t xml:space="preserve">1. Any Notice of Substantial Performance or Certificate of Substantial Performance issued for this contract, under the</w:t>
      </w:r>
      <w:r>
        <w:t xml:space="preserve"> </w:t>
      </w:r>
      <w:r>
        <w:rPr>
          <w:i/>
          <w:iCs/>
        </w:rPr>
        <w:t xml:space="preserve">Construction Act</w:t>
      </w:r>
      <w:r>
        <w:t xml:space="preserve"> </w:t>
      </w:r>
      <w:r>
        <w:t xml:space="preserve">(Ontario), including the certified date of substantial performance.</w:t>
      </w:r>
      <w:r>
        <w:br/>
      </w:r>
      <w:r>
        <w:t xml:space="preserve">2. Any final completion certificate or project close-out record for this contract.</w:t>
      </w:r>
      <w:r>
        <w:br/>
      </w:r>
      <w:r>
        <w:t xml:space="preserve">3. A statement of the final, reconciled contract value (original tender award plus all amendments/change orders), and final actual project cost against the ES2474 and ES2452 capital-project budgets identified in the April 30, 2025 Sources of Financing appendix.</w:t>
      </w:r>
      <w:r>
        <w:br/>
      </w:r>
      <w:r>
        <w:t xml:space="preserve">4. Copies of any payment certificates or holdback-release documentation issued under this contract.</w:t>
      </w:r>
      <w:r>
        <w:br/>
      </w:r>
      <w:r>
        <w:t xml:space="preserve">5. Any change orders or contract amendments issued after April 30, 2025, if any exist.</w:t>
      </w:r>
      <w:r>
        <w:br/>
      </w:r>
      <w:r>
        <w:br/>
      </w:r>
      <w:r>
        <w:t xml:space="preserve">I am requesting these records in electronic format where available. If any portion of this request would exceed the fee waiver threshold, please contact me with an estimate before proceeding.</w:t>
      </w:r>
    </w:p>
    <w:p>
      <w:pPr>
        <w:pStyle w:val="FirstParagraph"/>
      </w:pPr>
      <w:r>
        <w:rPr>
          <w:b/>
          <w:bCs/>
        </w:rPr>
        <w:t xml:space="preserve">Why this scope, specifically:</w:t>
      </w:r>
      <w:r>
        <w:t xml:space="preserve"> </w:t>
      </w:r>
      <w:r>
        <w:t xml:space="preserve">Why this scope, specifically Every other field in the Springbank Dam case file above is now sourced to a public document — this request targets exactly the fields that a thorough public search confirmed are not public, and nothing more. A narrow, specific request like this is more likely to receive a fast, low-fee response than an open-ended one — and if the City's answer is "no such record exists" for the Notice of Substantial Performance specifically, that would itself be a finding worth publishing.</w:t>
      </w:r>
    </w:p>
    <w:bookmarkEnd w:id="77"/>
    <w:bookmarkStart w:id="78" w:name="X712f9a30de8f4ac5850a3d26473be4f6be09ba9"/>
    <w:p>
      <w:pPr>
        <w:pStyle w:val="Heading3"/>
      </w:pPr>
      <w:r>
        <w:t xml:space="preserve">Field-completeness matrix — quantifying the "fragments that don't join" thesis</w:t>
      </w:r>
    </w:p>
    <w:p>
      <w:pPr>
        <w:pStyle w:val="FirstParagraph"/>
      </w:pPr>
      <w:r>
        <w:t xml:space="preserve">This edition's central finding, restated across every section, is that the public record contains real fragments of the capital-project lifecycle but rarely the full chain in one place. Here is that claim made measurable, across all six case files, using the same 9 fields the Springbank Dam close-out above worked through:</w:t>
      </w:r>
    </w:p>
    <w:p>
      <w:pPr>
        <w:pStyle w:val="TableCaption"/>
      </w:pPr>
      <w:r>
        <w:t xml:space="preserve">✓ = a specific, dated, primary-source figure or document found. Partial = the field exists but is incomplete or unconfirmed. — = not located publicly this pass, not merely unsearched for the projects marked ✓ above them.</w:t>
      </w:r>
    </w:p>
    <w:tbl>
      <w:tblPr>
        <w:tblStyle w:val="Table"/>
        <w:tblW w:type="auto" w:w="0"/>
        <w:tblLook w:firstRow="1" w:lastRow="0" w:firstColumn="0" w:lastColumn="0" w:noHBand="0" w:noVBand="0" w:val="0020"/>
        <w:tblCaption w:val="✓ = a specific, dated, primary-source figure or document found. Partial = the field exists but is incomplete or unconfirmed. — = not located publicly this pass, not merely unsearched for the projects marked ✓ above them."/>
      </w:tblPr>
      <w:tblGrid>
        <w:gridCol w:w="792"/>
        <w:gridCol w:w="792"/>
        <w:gridCol w:w="792"/>
        <w:gridCol w:w="792"/>
        <w:gridCol w:w="792"/>
        <w:gridCol w:w="792"/>
        <w:gridCol w:w="792"/>
        <w:gridCol w:w="792"/>
        <w:gridCol w:w="792"/>
        <w:gridCol w:w="792"/>
      </w:tblGrid>
      <w:tr>
        <w:trPr>
          <w:tblHeader w:val="on"/>
        </w:trPr>
        <w:tc>
          <w:tcPr/>
          <w:p>
            <w:pPr>
              <w:pStyle w:val="Compact"/>
            </w:pPr>
            <w:r>
              <w:t xml:space="preserve">Project</w:t>
            </w:r>
          </w:p>
        </w:tc>
        <w:tc>
          <w:tcPr/>
          <w:p>
            <w:pPr>
              <w:pStyle w:val="Compact"/>
            </w:pPr>
            <w:r>
              <w:t xml:space="preserve">Authority</w:t>
            </w:r>
          </w:p>
        </w:tc>
        <w:tc>
          <w:tcPr/>
          <w:p>
            <w:pPr>
              <w:pStyle w:val="Compact"/>
            </w:pPr>
            <w:r>
              <w:t xml:space="preserve">Budget</w:t>
            </w:r>
          </w:p>
        </w:tc>
        <w:tc>
          <w:tcPr/>
          <w:p>
            <w:pPr>
              <w:pStyle w:val="Compact"/>
            </w:pPr>
            <w:r>
              <w:t xml:space="preserve">Tender</w:t>
            </w:r>
          </w:p>
        </w:tc>
        <w:tc>
          <w:tcPr/>
          <w:p>
            <w:pPr>
              <w:pStyle w:val="Compact"/>
            </w:pPr>
            <w:r>
              <w:t xml:space="preserve">Bids</w:t>
            </w:r>
          </w:p>
        </w:tc>
        <w:tc>
          <w:tcPr/>
          <w:p>
            <w:pPr>
              <w:pStyle w:val="Compact"/>
            </w:pPr>
            <w:r>
              <w:t xml:space="preserve">Award</w:t>
            </w:r>
          </w:p>
        </w:tc>
        <w:tc>
          <w:tcPr/>
          <w:p>
            <w:pPr>
              <w:pStyle w:val="Compact"/>
            </w:pPr>
            <w:r>
              <w:t xml:space="preserve">Change order</w:t>
            </w:r>
          </w:p>
        </w:tc>
        <w:tc>
          <w:tcPr/>
          <w:p>
            <w:pPr>
              <w:pStyle w:val="Compact"/>
            </w:pPr>
            <w:r>
              <w:t xml:space="preserve">Contingency</w:t>
            </w:r>
          </w:p>
        </w:tc>
        <w:tc>
          <w:tcPr/>
          <w:p>
            <w:pPr>
              <w:pStyle w:val="Compact"/>
            </w:pPr>
            <w:r>
              <w:t xml:space="preserve">Final cost</w:t>
            </w:r>
          </w:p>
        </w:tc>
        <w:tc>
          <w:tcPr/>
          <w:p>
            <w:pPr>
              <w:pStyle w:val="Compact"/>
            </w:pPr>
            <w:r>
              <w:t xml:space="preserve">Output/status</w:t>
            </w:r>
          </w:p>
        </w:tc>
      </w:tr>
      <w:tr>
        <w:tc>
          <w:tcPr/>
          <w:p>
            <w:pPr>
              <w:pStyle w:val="Compact"/>
            </w:pPr>
            <w:r>
              <w:t xml:space="preserve">Springbank Dam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Partial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Partial</w:t>
            </w:r>
          </w:p>
        </w:tc>
      </w:tr>
      <w:tr>
        <w:tc>
          <w:tcPr/>
          <w:p>
            <w:pPr>
              <w:pStyle w:val="Compact"/>
            </w:pPr>
            <w:r>
              <w:t xml:space="preserve">Mud Creek 2B</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Partial</w:t>
            </w:r>
          </w:p>
        </w:tc>
      </w:tr>
      <w:tr>
        <w:tc>
          <w:tcPr/>
          <w:p>
            <w:pPr>
              <w:pStyle w:val="Compact"/>
            </w:pPr>
            <w:r>
              <w:t xml:space="preserve">Wharncliffe/Horton</w:t>
            </w:r>
          </w:p>
        </w:tc>
        <w:tc>
          <w:tcPr/>
          <w:p>
            <w:pPr>
              <w:pStyle w:val="Compact"/>
            </w:pPr>
            <w:r>
              <w:t xml:space="preserve">Partial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 (unfunded)</w:t>
            </w:r>
          </w:p>
        </w:tc>
      </w:tr>
      <w:tr>
        <w:tc>
          <w:tcPr/>
          <w:p>
            <w:pPr>
              <w:pStyle w:val="Compact"/>
            </w:pPr>
            <w:r>
              <w:t xml:space="preserve">Bradley Ave/White Oaks</w:t>
            </w:r>
            <w:r>
              <w:rPr>
                <w:vertAlign w:val="superscript"/>
              </w:rP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Contingency Reserve</w:t>
            </w:r>
          </w:p>
        </w:tc>
        <w:tc>
          <w:tcPr/>
          <w:p>
            <w:pPr>
              <w:pStyle w:val="Compact"/>
            </w:pPr>
            <w:r>
              <w:t xml:space="preserve">✓</w:t>
            </w:r>
          </w:p>
        </w:tc>
        <w:tc>
          <w:tcPr/>
          <w:p>
            <w:pPr>
              <w:pStyle w:val="Compact"/>
            </w:pPr>
            <w:r>
              <w:t xml:space="preserve">✓</w:t>
            </w:r>
          </w:p>
        </w:tc>
        <w:tc>
          <w:tcPr/>
          <w:p>
            <w:pPr>
              <w:pStyle w:val="Compact"/>
            </w:pPr>
            <w:r>
              <w:t xml:space="preserve">n/a</w:t>
            </w:r>
          </w:p>
        </w:tc>
        <w:tc>
          <w:tcPr/>
          <w:p>
            <w:pPr>
              <w:pStyle w:val="Compact"/>
            </w:pPr>
            <w:r>
              <w:t xml:space="preserve">n/a</w:t>
            </w:r>
          </w:p>
        </w:tc>
        <w:tc>
          <w:tcPr/>
          <w:p>
            <w:pPr>
              <w:pStyle w:val="Compact"/>
            </w:pPr>
            <w:r>
              <w:t xml:space="preserve">n/a</w:t>
            </w:r>
          </w:p>
        </w:tc>
        <w:tc>
          <w:tcPr/>
          <w:p>
            <w:pPr>
              <w:pStyle w:val="Compact"/>
            </w:pPr>
            <w:r>
              <w:t xml:space="preserve">n/a</w:t>
            </w:r>
          </w:p>
        </w:tc>
        <w:tc>
          <w:tcPr/>
          <w:p>
            <w:pPr>
              <w:pStyle w:val="Compact"/>
            </w:pPr>
            <w:r>
              <w:t xml:space="preserve">n/a</w:t>
            </w:r>
          </w:p>
        </w:tc>
        <w:tc>
          <w:tcPr/>
          <w:p>
            <w:pPr>
              <w:pStyle w:val="Compact"/>
            </w:pPr>
            <w:r>
              <w:t xml:space="preserve">Partial</w:t>
            </w:r>
          </w:p>
        </w:tc>
        <w:tc>
          <w:tcPr/>
          <w:p>
            <w:pPr>
              <w:pStyle w:val="Compact"/>
            </w:pPr>
            <w:r>
              <w:t xml:space="preserve">Partial</w:t>
            </w:r>
          </w:p>
        </w:tc>
      </w:tr>
      <w:tr>
        <w:tc>
          <w:tcPr/>
          <w:p>
            <w:pPr>
              <w:pStyle w:val="Compact"/>
            </w:pPr>
            <w:r>
              <w:t xml:space="preserve">Greenway Flood Protection</w:t>
            </w:r>
          </w:p>
        </w:tc>
        <w:tc>
          <w:tcPr/>
          <w:p>
            <w:pPr>
              <w:pStyle w:val="Compact"/>
            </w:pPr>
            <w:r>
              <w:t xml:space="preserve">✓</w:t>
            </w:r>
          </w:p>
        </w:tc>
        <w:tc>
          <w:tcPr/>
          <w:p>
            <w:pPr>
              <w:pStyle w:val="Compact"/>
            </w:pPr>
            <w:r>
              <w:t xml:space="preserve">Partial</w:t>
            </w:r>
            <w:r>
              <w:rPr>
                <w:vertAlign w:val="superscript"/>
              </w:rP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rPr>
          <w:b/>
          <w:bCs/>
        </w:rPr>
        <w:t xml:space="preserve">Result: of 54 fields across these six projects (9 fields × 6 projects), 24 are fully confirmed (✓), 8 are partial, and 22 are not publicly located — a 44.4% full-confirmation rate, or 59.3% counting partials as half-credit.</w:t>
      </w:r>
      <w:r>
        <w:t xml:space="preserve"> </w:t>
      </w:r>
      <w:r>
        <w:t xml:space="preserve">Springbank Dam alone reaches 7 of 9 fields fully confirmed (77.8%) after this pass's records — by a wide margin the most complete of the six, and a demonstration that the gap is a records-access problem, not an information-doesn't-exist problem: every ✓ above came from a document the City itself already publishes, just never joined into one place.</w:t>
      </w:r>
    </w:p>
    <w:p>
      <w:pPr>
        <w:pStyle w:val="BodyText"/>
      </w:pPr>
      <w:r>
        <w:t xml:space="preserve">† Bradley Avenue/White Oaks Tributary is the RFT-2025-087 project introduced in case file 3's naming-trap note, not the unfunded Horton-Wharncliffe intersection. ‡ See the ES2474 cross-check finding in case file 6, above — a real second budget figure exists for this project code but hasn't been reconciled with the one shown here.</w:t>
      </w:r>
    </w:p>
    <w:p>
      <w:pPr>
        <w:pStyle w:val="BodyText"/>
      </w:pPr>
      <w:r>
        <w:rPr>
          <w:b/>
          <w:bCs/>
        </w:rPr>
        <w:t xml:space="preserve">A naming trap worth flagging:</w:t>
      </w:r>
      <w:r>
        <w:t xml:space="preserve"> </w:t>
      </w:r>
      <w:r>
        <w:t xml:space="preserve">A naming trap worth flagging Search this same procurement dataset for "Highbury" and the largest single hit is RFT-2025-270, "Highbury Avenue Reconstruction Project," awarded to J-AAR Civil Infrastructures Limited for $27,426,933.01 — a road-reconstruction contract. This is a different project entirely from MU1450, "Highbury Facility Demolition &amp; Rebuild" (the London Transit Commission facility in §3, $133.0M/2024–33, ~$321.7M lifetime). A third is the Highbury Avenue South road segment flagged Fair-condition near Hwy 401 (§15's asset-condition note). Found this pass, a fourth: the City's 2025 Year-End Capital Budget Monitoring Report lists "East London Link – Highbury Bridge Widening" among the multi-year projects carrying construction into 2026, plus a distinct "Highbury Rail Bridge" reference for winter works — this is a bridge-widening component of the separate East London Link road program (which also includes an Oxford Street East component), not the same project as any of the other three. Four genuinely different "Highbury" capital works are now confirmed to exist simultaneously — flagged explicitly so a future pass doesn't merge them by name-matching alone. Separately: no procurement-portal record was found for GG1721-6 (the Fanshawe College Campus for the Arts grant) — consistent with it being a direct institutional funding agreement rather than a competitively tendered City contract, and MU1450 itself wasn't found under a "Highbury" search either, since LTC's procurement likely doesn't route through the City's own portal under a matching name. Full field-by-field FOUND/NOT-FOUND detail for all six case files is in the Part B capital-projects package ( london_procurement_final/07_part_b_capital_projects/project_dossiers.csv ).</w:t>
      </w:r>
    </w:p>
    <w:p>
      <w:pPr>
        <w:pStyle w:val="BodyText"/>
      </w:pPr>
      <w:r>
        <w:rPr>
          <w:b/>
          <w:bCs/>
        </w:rPr>
        <w:t xml:space="preserve">Leads still open:</w:t>
      </w:r>
      <w:r>
        <w:t xml:space="preserve"> </w:t>
      </w:r>
      <w:r>
        <w:t xml:space="preserve">Leads still open The five largest service-improvement projects are addressed in §3, three of which (Master Accommodation Plan, Long Term Disposal Capacity, Fire Training Campus, Police Headquarters Expansion) returned no matching procurement-portal record under their plan-document names this pass — likely pre-construction/design phase, not searched further. Major HAF-funded properties beyond the two already in §8 and §13, and the largest individual grant recipients beyond the verified 2025 Grassroots/Innovation/Capital list in §13, remain unbuilt — see §19 for exactly what's needed.</w:t>
      </w:r>
    </w:p>
    <w:bookmarkEnd w:id="78"/>
    <w:bookmarkEnd w:id="79"/>
    <w:bookmarkStart w:id="81" w:name="Xee0d040e573cffcc6f60090772164d9e3fee3d3"/>
    <w:p>
      <w:pPr>
        <w:pStyle w:val="Heading2"/>
      </w:pPr>
      <w:r>
        <w:t xml:space="preserve">How London compares — a narrow benchmark against eight peer cities</w:t>
      </w:r>
    </w:p>
    <w:p>
      <w:pPr>
        <w:pStyle w:val="FirstParagraph"/>
      </w:pPr>
      <w:r>
        <w:t xml:space="preserve">New module — existence-only check, 10 fields, 8 cities</w:t>
      </w:r>
    </w:p>
    <w:p>
      <w:pPr>
        <w:pStyle w:val="BodyText"/>
      </w:pPr>
      <w:r>
        <w:t xml:space="preserve">Every finding above answers "what does London disclose." This section asks a different, harder question: is London's public-accountability infrastructure unusually thin, or is this how mid-size Canadian municipalities generally operate? Eight comparably-sized or larger cities were checked — Hamilton, Ottawa, Kitchener, Waterloo, Windsor, Guelph and Mississauga (all Ontario) plus Calgary (Alberta) — against the same 10 fields used to assess London throughout this edition. This is deliberately narrow: one or two targeted checks per field per city, done directly (no subagents, per this review's own working rule), looking for</w:t>
      </w:r>
      <w:r>
        <w:t xml:space="preserve"> </w:t>
      </w:r>
      <w:r>
        <w:rPr>
          <w:i/>
          <w:iCs/>
        </w:rPr>
        <w:t xml:space="preserve">existence</w:t>
      </w:r>
      <w:r>
        <w:t xml:space="preserve"> </w:t>
      </w:r>
      <w:r>
        <w:t xml:space="preserve">of a mechanism, not auditing any peer city at the depth applied to London. A "—" below means no evidence was found in this narrow pass, not that the capability is confirmed absent — the asymmetry between "checked and confirmed" and "not surfaced in a narrow search" is the same distinction this edition insists on for London itself.</w:t>
      </w:r>
    </w:p>
    <w:p>
      <w:pPr>
        <w:pStyle w:val="TableCaption"/>
      </w:pPr>
      <w:r>
        <w:t xml:space="preserve">Existence check only. ✓ = confirmed via a named source. Partial = confirmed but limited/uncertain. — = not established in this narrow pass.</w:t>
      </w:r>
    </w:p>
    <w:tbl>
      <w:tblPr>
        <w:tblStyle w:val="Table"/>
        <w:tblW w:type="auto" w:w="0"/>
        <w:tblLook w:firstRow="1" w:lastRow="0" w:firstColumn="0" w:lastColumn="0" w:noHBand="0" w:noVBand="0" w:val="0020"/>
        <w:tblCaption w:val="Existence check only. ✓ = confirmed via a named source. Partial = confirmed but limited/uncertain. — = not established in this narrow pass."/>
      </w:tblPr>
      <w:tblGrid>
        <w:gridCol w:w="792"/>
        <w:gridCol w:w="792"/>
        <w:gridCol w:w="792"/>
        <w:gridCol w:w="792"/>
        <w:gridCol w:w="792"/>
        <w:gridCol w:w="792"/>
        <w:gridCol w:w="792"/>
        <w:gridCol w:w="792"/>
        <w:gridCol w:w="792"/>
        <w:gridCol w:w="792"/>
      </w:tblGrid>
      <w:tr>
        <w:trPr>
          <w:tblHeader w:val="on"/>
        </w:trPr>
        <w:tc>
          <w:tcPr/>
          <w:p>
            <w:pPr>
              <w:pStyle w:val="Compact"/>
            </w:pPr>
            <w:r>
              <w:t xml:space="preserve">Field</w:t>
            </w:r>
          </w:p>
        </w:tc>
        <w:tc>
          <w:tcPr/>
          <w:p>
            <w:pPr>
              <w:pStyle w:val="Compact"/>
            </w:pPr>
            <w:r>
              <w:t xml:space="preserve">London</w:t>
            </w:r>
          </w:p>
        </w:tc>
        <w:tc>
          <w:tcPr/>
          <w:p>
            <w:pPr>
              <w:pStyle w:val="Compact"/>
            </w:pPr>
            <w:r>
              <w:t xml:space="preserve">Hamilton</w:t>
            </w:r>
          </w:p>
        </w:tc>
        <w:tc>
          <w:tcPr/>
          <w:p>
            <w:pPr>
              <w:pStyle w:val="Compact"/>
            </w:pPr>
            <w:r>
              <w:t xml:space="preserve">Ottawa</w:t>
            </w:r>
          </w:p>
        </w:tc>
        <w:tc>
          <w:tcPr/>
          <w:p>
            <w:pPr>
              <w:pStyle w:val="Compact"/>
            </w:pPr>
            <w:r>
              <w:t xml:space="preserve">Kitchener</w:t>
            </w:r>
          </w:p>
        </w:tc>
        <w:tc>
          <w:tcPr/>
          <w:p>
            <w:pPr>
              <w:pStyle w:val="Compact"/>
            </w:pPr>
            <w:r>
              <w:t xml:space="preserve">Waterloo</w:t>
            </w:r>
          </w:p>
        </w:tc>
        <w:tc>
          <w:tcPr/>
          <w:p>
            <w:pPr>
              <w:pStyle w:val="Compact"/>
            </w:pPr>
            <w:r>
              <w:t xml:space="preserve">Windsor</w:t>
            </w:r>
          </w:p>
        </w:tc>
        <w:tc>
          <w:tcPr/>
          <w:p>
            <w:pPr>
              <w:pStyle w:val="Compact"/>
            </w:pPr>
            <w:r>
              <w:t xml:space="preserve">Guelph</w:t>
            </w:r>
          </w:p>
        </w:tc>
        <w:tc>
          <w:tcPr/>
          <w:p>
            <w:pPr>
              <w:pStyle w:val="Compact"/>
            </w:pPr>
            <w:r>
              <w:t xml:space="preserve">Mississauga</w:t>
            </w:r>
          </w:p>
        </w:tc>
        <w:tc>
          <w:tcPr/>
          <w:p>
            <w:pPr>
              <w:pStyle w:val="Compact"/>
            </w:pPr>
            <w:r>
              <w:t xml:space="preserve">Calgary</w:t>
            </w:r>
          </w:p>
        </w:tc>
      </w:tr>
      <w:tr>
        <w:tc>
          <w:tcPr/>
          <w:p>
            <w:pPr>
              <w:pStyle w:val="Compact"/>
            </w:pPr>
            <w:r>
              <w:t xml:space="preserve">Contract award value public?</w:t>
            </w:r>
          </w:p>
        </w:tc>
        <w:tc>
          <w:tcPr/>
          <w:p>
            <w:pPr>
              <w:pStyle w:val="Compact"/>
            </w:pPr>
            <w:r>
              <w:t xml:space="preserve">Partial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Award data machine-readable?</w:t>
            </w:r>
          </w:p>
        </w:tc>
        <w:tc>
          <w:tcPr/>
          <w:p>
            <w:pPr>
              <w:pStyle w:val="Compact"/>
            </w:pPr>
            <w:r>
              <w:t xml:space="preserve">✓</w:t>
            </w:r>
          </w:p>
        </w:tc>
        <w:tc>
          <w:tcPr/>
          <w:p>
            <w:pPr>
              <w:pStyle w:val="Compact"/>
            </w:pPr>
            <w:r>
              <w:t xml:space="preserve">Partial</w:t>
            </w:r>
          </w:p>
        </w:tc>
        <w:tc>
          <w:tcPr/>
          <w:p>
            <w:pPr>
              <w:pStyle w:val="Compact"/>
            </w:pPr>
            <w:r>
              <w:t xml:space="preserve">Partial</w:t>
            </w:r>
          </w:p>
        </w:tc>
        <w:tc>
          <w:tcPr/>
          <w:p>
            <w:pPr>
              <w:pStyle w:val="Compact"/>
            </w:pPr>
            <w:r>
              <w:t xml:space="preserve">Partial</w:t>
            </w:r>
          </w:p>
        </w:tc>
        <w:tc>
          <w:tcPr/>
          <w:p>
            <w:pPr>
              <w:pStyle w:val="Compact"/>
            </w:pPr>
            <w:r>
              <w:t xml:space="preserve">Partial</w:t>
            </w:r>
          </w:p>
        </w:tc>
        <w:tc>
          <w:tcPr/>
          <w:p>
            <w:pPr>
              <w:pStyle w:val="Compact"/>
            </w:pPr>
            <w:r>
              <w:t xml:space="preserve">Partial</w:t>
            </w:r>
          </w:p>
        </w:tc>
        <w:tc>
          <w:tcPr/>
          <w:p>
            <w:pPr>
              <w:pStyle w:val="Compact"/>
            </w:pPr>
            <w:r>
              <w:t xml:space="preserve">Partial</w:t>
            </w:r>
          </w:p>
        </w:tc>
        <w:tc>
          <w:tcPr/>
          <w:p>
            <w:pPr>
              <w:pStyle w:val="Compact"/>
            </w:pPr>
            <w:r>
              <w:t xml:space="preserve">Partial</w:t>
            </w:r>
          </w:p>
        </w:tc>
        <w:tc>
          <w:tcPr/>
          <w:p>
            <w:pPr>
              <w:pStyle w:val="Compact"/>
            </w:pPr>
            <w:r>
              <w:t xml:space="preserve">—</w:t>
            </w:r>
          </w:p>
        </w:tc>
      </w:tr>
      <w:tr>
        <w:tc>
          <w:tcPr/>
          <w:p>
            <w:pPr>
              <w:pStyle w:val="Compact"/>
            </w:pPr>
            <w:r>
              <w:t xml:space="preserve">Amendments/change orders public?</w:t>
            </w:r>
          </w:p>
        </w:tc>
        <w:tc>
          <w:tcPr/>
          <w:p>
            <w:pPr>
              <w:pStyle w:val="Compact"/>
            </w:pPr>
            <w:r>
              <w:t xml:space="preserve">Partial</w:t>
            </w:r>
          </w:p>
        </w:tc>
        <w:tc>
          <w:tcPr/>
          <w:p>
            <w:pPr>
              <w:pStyle w:val="Compact"/>
            </w:pPr>
            <w:r>
              <w:t xml:space="preserve">—</w:t>
            </w:r>
          </w:p>
        </w:tc>
        <w:tc>
          <w:tcPr/>
          <w:p>
            <w:pPr>
              <w:pStyle w:val="Compact"/>
            </w:pPr>
            <w:r>
              <w:t xml:space="preserve">Partial</w:t>
            </w:r>
          </w:p>
        </w:tc>
        <w:tc>
          <w:tcPr/>
          <w:p>
            <w:pPr>
              <w:pStyle w:val="Compact"/>
            </w:pPr>
            <w:r>
              <w:t xml:space="preserve">—</w:t>
            </w:r>
          </w:p>
        </w:tc>
        <w:tc>
          <w:tcPr/>
          <w:p>
            <w:pPr>
              <w:pStyle w:val="Compact"/>
            </w:pPr>
            <w:r>
              <w:t xml:space="preserve">—</w:t>
            </w:r>
          </w:p>
        </w:tc>
        <w:tc>
          <w:tcPr/>
          <w:p>
            <w:pPr>
              <w:pStyle w:val="Compact"/>
            </w:pPr>
            <w:r>
              <w:t xml:space="preserve">Partial</w:t>
            </w:r>
          </w:p>
        </w:tc>
        <w:tc>
          <w:tcPr/>
          <w:p>
            <w:pPr>
              <w:pStyle w:val="Compact"/>
            </w:pPr>
            <w:r>
              <w:t xml:space="preserve">Partial</w:t>
            </w:r>
          </w:p>
        </w:tc>
        <w:tc>
          <w:tcPr/>
          <w:p>
            <w:pPr>
              <w:pStyle w:val="Compact"/>
            </w:pPr>
            <w:r>
              <w:t xml:space="preserve">—</w:t>
            </w:r>
          </w:p>
        </w:tc>
        <w:tc>
          <w:tcPr/>
          <w:p>
            <w:pPr>
              <w:pStyle w:val="Compact"/>
            </w:pPr>
            <w:r>
              <w:t xml:space="preserve">—</w:t>
            </w:r>
          </w:p>
        </w:tc>
      </w:tr>
      <w:tr>
        <w:tc>
          <w:tcPr/>
          <w:p>
            <w:pPr>
              <w:pStyle w:val="Compact"/>
            </w:pPr>
            <w:r>
              <w:t xml:space="preserve">Major-project budget vs. actual dashboard?</w:t>
            </w:r>
          </w:p>
        </w:tc>
        <w:tc>
          <w:tcPr/>
          <w:p>
            <w:pPr>
              <w:pStyle w:val="Compact"/>
            </w:pPr>
            <w:r>
              <w:t xml:space="preserve">Partial (semi-annual PDF)</w:t>
            </w:r>
          </w:p>
        </w:tc>
        <w:tc>
          <w:tcPr/>
          <w:p>
            <w:pPr>
              <w:pStyle w:val="Compact"/>
            </w:pPr>
            <w:r>
              <w:t xml:space="preserve">—</w:t>
            </w:r>
          </w:p>
        </w:tc>
        <w:tc>
          <w:tcPr/>
          <w:p>
            <w:pPr>
              <w:pStyle w:val="Compact"/>
            </w:pPr>
            <w:r>
              <w:t xml:space="preserve">✓ (quarterly)</w:t>
            </w:r>
          </w:p>
        </w:tc>
        <w:tc>
          <w:tcPr/>
          <w:p>
            <w:pPr>
              <w:pStyle w:val="Compact"/>
            </w:pPr>
            <w:r>
              <w:t xml:space="preserve">—</w:t>
            </w:r>
          </w:p>
        </w:tc>
        <w:tc>
          <w:tcPr/>
          <w:p>
            <w:pPr>
              <w:pStyle w:val="Compact"/>
            </w:pPr>
            <w:r>
              <w:t xml:space="preserve">—</w:t>
            </w:r>
          </w:p>
        </w:tc>
        <w:tc>
          <w:tcPr/>
          <w:p>
            <w:pPr>
              <w:pStyle w:val="Compact"/>
            </w:pPr>
            <w:r>
              <w:t xml:space="preserve">✓ (semi-annual, since 2011)</w:t>
            </w:r>
          </w:p>
        </w:tc>
        <w:tc>
          <w:tcPr/>
          <w:p>
            <w:pPr>
              <w:pStyle w:val="Compact"/>
            </w:pPr>
            <w:r>
              <w:t xml:space="preserve">✓ (quarterly + annual)</w:t>
            </w:r>
          </w:p>
        </w:tc>
        <w:tc>
          <w:tcPr/>
          <w:p>
            <w:pPr>
              <w:pStyle w:val="Compact"/>
            </w:pPr>
            <w:r>
              <w:t xml:space="preserve">—</w:t>
            </w:r>
          </w:p>
        </w:tc>
        <w:tc>
          <w:tcPr/>
          <w:p>
            <w:pPr>
              <w:pStyle w:val="Compact"/>
            </w:pPr>
            <w:r>
              <w:t xml:space="preserve">Partial</w:t>
            </w:r>
          </w:p>
        </w:tc>
      </w:tr>
      <w:tr>
        <w:tc>
          <w:tcPr/>
          <w:p>
            <w:pPr>
              <w:pStyle w:val="Compact"/>
            </w:pPr>
            <w:r>
              <w:t xml:space="preserve">Grant recipients + amount public?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Grant outcomes public?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CIP/incentive beneficiaries public?</w:t>
            </w:r>
          </w:p>
        </w:tc>
        <w:tc>
          <w:tcPr/>
          <w:p>
            <w:pPr>
              <w:pStyle w:val="Compact"/>
            </w:pPr>
            <w:r>
              <w:t xml:space="preserve">Partial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Audit recommendations/status public?</w:t>
            </w:r>
          </w:p>
        </w:tc>
        <w:tc>
          <w:tcPr/>
          <w:p>
            <w:pPr>
              <w:pStyle w:val="Compact"/>
            </w:pPr>
            <w:r>
              <w:t xml:space="preserve">✓ (outsourced)</w:t>
            </w:r>
          </w:p>
        </w:tc>
        <w:tc>
          <w:tcPr/>
          <w:p>
            <w:pPr>
              <w:pStyle w:val="Compact"/>
            </w:pPr>
            <w:r>
              <w:t xml:space="preserve">✓ (in-house AG)</w:t>
            </w:r>
          </w:p>
        </w:tc>
        <w:tc>
          <w:tcPr/>
          <w:p>
            <w:pPr>
              <w:pStyle w:val="Compact"/>
            </w:pPr>
            <w:r>
              <w:t xml:space="preserve">✓ (in-house AG)</w:t>
            </w:r>
          </w:p>
        </w:tc>
        <w:tc>
          <w:tcPr/>
          <w:p>
            <w:pPr>
              <w:pStyle w:val="Compact"/>
            </w:pPr>
            <w:r>
              <w:t xml:space="preserve">Partial</w:t>
            </w:r>
          </w:p>
        </w:tc>
        <w:tc>
          <w:tcPr/>
          <w:p>
            <w:pPr>
              <w:pStyle w:val="Compact"/>
            </w:pPr>
            <w:r>
              <w:t xml:space="preserve">—</w:t>
            </w:r>
          </w:p>
        </w:tc>
        <w:tc>
          <w:tcPr/>
          <w:p>
            <w:pPr>
              <w:pStyle w:val="Compact"/>
            </w:pPr>
            <w:r>
              <w:t xml:space="preserve">✓ (outsourced)</w:t>
            </w:r>
          </w:p>
        </w:tc>
        <w:tc>
          <w:tcPr/>
          <w:p>
            <w:pPr>
              <w:pStyle w:val="Compact"/>
            </w:pPr>
            <w:r>
              <w:t xml:space="preserve">✓ (in-house)</w:t>
            </w:r>
          </w:p>
        </w:tc>
        <w:tc>
          <w:tcPr/>
          <w:p>
            <w:pPr>
              <w:pStyle w:val="Compact"/>
            </w:pPr>
            <w:r>
              <w:t xml:space="preserve">✓ (in-house)</w:t>
            </w:r>
          </w:p>
        </w:tc>
        <w:tc>
          <w:tcPr/>
          <w:p>
            <w:pPr>
              <w:pStyle w:val="Compact"/>
            </w:pPr>
            <w:r>
              <w:t xml:space="preserve">✓ (in-house)</w:t>
            </w:r>
          </w:p>
        </w:tc>
      </w:tr>
      <w:tr>
        <w:tc>
          <w:tcPr/>
          <w:p>
            <w:pPr>
              <w:pStyle w:val="Compact"/>
            </w:pPr>
            <w:r>
              <w:t xml:space="preserve">Housing permit → completion pipeline?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Workforce FTE/vacancy/overtime reporting?</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Partial (FTE only, via FIR)</w:t>
            </w:r>
          </w:p>
        </w:tc>
        <w:tc>
          <w:tcPr/>
          <w:p>
            <w:pPr>
              <w:pStyle w:val="Compact"/>
            </w:pPr>
            <w:r>
              <w:t xml:space="preserve">Different regime, not verified</w:t>
            </w:r>
          </w:p>
        </w:tc>
      </w:tr>
    </w:tbl>
    <w:bookmarkStart w:id="80" w:name="what-actually-differs-city-by-city"/>
    <w:p>
      <w:pPr>
        <w:pStyle w:val="Heading3"/>
      </w:pPr>
      <w:r>
        <w:t xml:space="preserve">What actually differs, city by city</w:t>
      </w:r>
    </w:p>
    <w:p>
      <w:pPr>
        <w:pStyle w:val="Compact"/>
        <w:numPr>
          <w:ilvl w:val="0"/>
          <w:numId w:val="1006"/>
        </w:numPr>
      </w:pPr>
      <w:r>
        <w:rPr>
          <w:b/>
          <w:bCs/>
        </w:rPr>
        <w:t xml:space="preserve">Procurement portal architecture is shared, not London-specific.</w:t>
      </w:r>
      <w:r>
        <w:t xml:space="preserve"> </w:t>
      </w:r>
      <w:r>
        <w:t xml:space="preserve">All 7 Ontario peers checked run on the same commercial platform family (bidsandtenders.ca) London itself uses — a real structural finding, not an assumption: London's own 70.5%-no-visible-value / 49.4%-bid-tabulation-recoverable statistics are the only ones in this table independently re-derived from raw data (§9); the "✓" for peers reflects confirmed portal existence, not a re-run of London's own reproducibility pipeline against them. Calgary is the one clear outlier — its open-data catalogue was checked directly for a contract-award dataset and returned zero results.</w:t>
      </w:r>
    </w:p>
    <w:p>
      <w:pPr>
        <w:pStyle w:val="Compact"/>
        <w:numPr>
          <w:ilvl w:val="0"/>
          <w:numId w:val="1006"/>
        </w:numPr>
      </w:pPr>
      <w:r>
        <w:rPr>
          <w:b/>
          <w:bCs/>
        </w:rPr>
        <w:t xml:space="preserve">Audit independence is where London looks weakest against this set.</w:t>
      </w:r>
      <w:r>
        <w:t xml:space="preserve"> </w:t>
      </w:r>
      <w:r>
        <w:t xml:space="preserve">Hamilton, Ottawa, Guelph, Mississauga and Calgary all maintain a standing, in-house audit function (Hamilton and Ottawa go further, with dedicated Auditor General offices with their own annual reports); Windsor, like London, explicitly outsources its internal audit function. Mississauga's Council is on record having explicitly considered and declined to create an Auditor General office, choosing to rely on its in-house Internal Audit Division instead — a real, documented governance choice worth noting alongside London's own arrangement.</w:t>
      </w:r>
    </w:p>
    <w:p>
      <w:pPr>
        <w:pStyle w:val="Compact"/>
        <w:numPr>
          <w:ilvl w:val="0"/>
          <w:numId w:val="1006"/>
        </w:numPr>
      </w:pPr>
      <w:r>
        <w:rPr>
          <w:b/>
          <w:bCs/>
        </w:rPr>
        <w:t xml:space="preserve">Capital-monitoring cadence: London is mid-pack, not an outlier.</w:t>
      </w:r>
      <w:r>
        <w:t xml:space="preserve"> </w:t>
      </w:r>
      <w:r>
        <w:t xml:space="preserve">Ottawa runs quarterly capital status reports; Guelph publishes the identical document type London does ("Year-end Capital Budget Monitoring Report") plus quarterly updates — real Q3 2025 figures show Guelph flagging its own risk of missing an 80% year-end spending target, the kind of self-critical disclosure this edition has been looking for from London and hasn't found; Windsor has published semi-annual capital variance reports since at least 2011. London's semi-annual/year-end cadence is real and comparable, just not the most frequent in this set.</w:t>
      </w:r>
    </w:p>
    <w:p>
      <w:pPr>
        <w:pStyle w:val="Compact"/>
        <w:numPr>
          <w:ilvl w:val="0"/>
          <w:numId w:val="1006"/>
        </w:numPr>
      </w:pPr>
      <w:r>
        <w:rPr>
          <w:b/>
          <w:bCs/>
        </w:rPr>
        <w:t xml:space="preserve">One peer has solved the exact problem this edition couldn't solve for London.</w:t>
      </w:r>
      <w:r>
        <w:t xml:space="preserve"> </w:t>
      </w:r>
      <w:r>
        <w:t xml:space="preserve">Ottawa's live Housing Approvals Dashboard tracks the complete pipeline — planning approval, building permit, construction start, construction</w:t>
      </w:r>
      <w:r>
        <w:t xml:space="preserve"> </w:t>
      </w:r>
      <w:r>
        <w:rPr>
          <w:i/>
          <w:iCs/>
        </w:rPr>
        <w:t xml:space="preserve">completion</w:t>
      </w:r>
      <w:r>
        <w:t xml:space="preserve"> </w:t>
      </w:r>
      <w:r>
        <w:t xml:space="preserve">— replacing an older PDF report. This is a specific, credible existence proof that the housing-conversion-funnel gap (§8, §19) is not structurally unsolvable; it's a choice London hasn't made yet.</w:t>
      </w:r>
    </w:p>
    <w:p>
      <w:pPr>
        <w:pStyle w:val="Compact"/>
        <w:numPr>
          <w:ilvl w:val="0"/>
          <w:numId w:val="1006"/>
        </w:numPr>
      </w:pPr>
      <w:r>
        <w:rPr>
          <w:b/>
          <w:bCs/>
        </w:rPr>
        <w:t xml:space="preserve">Grant outcomes, CIP beneficiary ledgers, and workforce vacancy/overtime/turnover reporting look like sector-wide gaps, not London-specific ones.</w:t>
      </w:r>
      <w:r>
        <w:t xml:space="preserve"> </w:t>
      </w:r>
      <w:r>
        <w:t xml:space="preserve">No peer city surfaced evidence of solving any of these three in this narrow pass — including cities with visibly stronger audit or capital-reporting infrastructure. For workforce specifically, the absence is structural at the provincial level: all 7 Ontario cities file the identical Financial Information Return to the same Ministry, which collects FTE headcount but not overtime, vacancy rate or turnover for any of them — this is a provincial reporting-form gap, not a municipal choice any single city could unilaterally fix.</w:t>
      </w:r>
    </w:p>
    <w:p>
      <w:pPr>
        <w:pStyle w:val="FirstParagraph"/>
      </w:pPr>
      <w:r>
        <w:rPr>
          <w:b/>
          <w:bCs/>
        </w:rPr>
        <w:t xml:space="preserve">SOURCE LOCK:</w:t>
      </w:r>
      <w:r>
        <w:t xml:space="preserve"> </w:t>
      </w:r>
      <w:r>
        <w:t xml:space="preserve">SOURCE LOCK Hamilton: hamilton.ca (bids and tenders, Auditor General pages); Fraud and Waste Annual Report coverage. Ottawa: oagottawa.ca (Auditor General annual/audit reports); ottawa.ca capital budget status reports and Housing Approvals Dashboard pages. Kitchener: pub-kitchener.escribemeetings.com Audit Committee agenda, April 7 2025. Waterloo: waterloo.ca financial-reports pages. Windsor: citywindsor.ca Budget Variance Reports (2011–2025) and Auditor General Reports page. Guelph: guelph.ca Internal Audit and "2024 Year-end Capital Budget Monitoring Report" pages. Mississauga: pub-mississauga.escribemeetings.com Internal Audit Division reports; insauga.com coverage of Council's Auditor-General decision. Calgary: calgary.ca City Auditor's Office audit list; data.calgary.ca open-data catalogue, searched directly for "contract award" (2026-08-20). All 7 Ontario cities' bidsandtenders.ca subdomains checked directly for HTTP response (2026-08-20). Workforce: Province of Ontario, Financial Information Return filings, efis.fma.csc.gov.on.ca (structural finding — the FIR requirement itself, per Municipal Act s.294(1), applies identically to all Ontario municipalities).</w:t>
      </w:r>
    </w:p>
    <w:p>
      <w:pPr>
        <w:pStyle w:val="BodyText"/>
      </w:pPr>
      <w:r>
        <w:rPr>
          <w:b/>
          <w:bCs/>
        </w:rPr>
        <w:t xml:space="preserve">So which is it — is London behind, or is this sector-wide?:</w:t>
      </w:r>
      <w:r>
        <w:t xml:space="preserve"> </w:t>
      </w:r>
      <w:r>
        <w:t xml:space="preserve">So which is it — is London behind, or is this sector-wide? Both, on different fields, and the split itself is the finding. On audit independence and on the housing-pipeline dashboard specifically, London is measurably behind at least one identifiable, named peer — not a hypothetical better practice, a real one already operating in Ottawa (housing) and in five of eight peers (in-house audit function). On capital-monitoring cadence and procurement-portal architecture , London is comparable to the sector — real practice, roughly typical, not an outlier in either direction. On grant outcomes, CIP beneficiary ledgers, and workforce vacancy/turnover reporting , no peer in this set has solved these either — this looks like a genuine sector-wide (and for workforce, provincial-level) disclosure gap, not a London failing. A report that only found "London is bad" would be less credible than this; a report that only found "everyone's the same" would be flattening a real difference in accountability structure that Ottawa and Hamilton, in particular, have chosen to build and London hasn't.</w:t>
      </w:r>
    </w:p>
    <w:bookmarkEnd w:id="80"/>
    <w:bookmarkEnd w:id="81"/>
    <w:bookmarkStart w:id="82" w:name="what-city-hall-could-fairly-rebut"/>
    <w:p>
      <w:pPr>
        <w:pStyle w:val="Heading2"/>
      </w:pPr>
      <w:r>
        <w:t xml:space="preserve">What City Hall could fairly rebut</w:t>
      </w:r>
    </w:p>
    <w:p>
      <w:pPr>
        <w:pStyle w:val="FirstParagraph"/>
      </w:pPr>
      <w:r>
        <w:t xml:space="preserve">New module — this edition's own strongest findings, placed against its own criticisms</w:t>
      </w:r>
    </w:p>
    <w:p>
      <w:pPr>
        <w:pStyle w:val="BodyText"/>
      </w:pPr>
      <w:r>
        <w:t xml:space="preserve">Every section above cites sources critically. This section does the opposite on purpose: it collects the five strongest pieces of evidence this edition itself found that</w:t>
      </w:r>
      <w:r>
        <w:t xml:space="preserve"> </w:t>
      </w:r>
      <w:r>
        <w:rPr>
          <w:i/>
          <w:iCs/>
        </w:rPr>
        <w:t xml:space="preserve">favour</w:t>
      </w:r>
      <w:r>
        <w:t xml:space="preserve"> </w:t>
      </w:r>
      <w:r>
        <w:t xml:space="preserve">the City's side of the story, and sets each one directly beside the finding it most complicates. A report that only ever finds fault isn't more rigorous for it — it's just one-sided in the other direction. Nothing below is new; every row cites a finding already published earlier in this edition.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This edition's finding</w:t>
            </w:r>
          </w:p>
        </w:tc>
        <w:tc>
          <w:tcPr/>
          <w:p>
            <w:pPr>
              <w:pStyle w:val="Compact"/>
            </w:pPr>
            <w:r>
              <w:t xml:space="preserve">Strongest City-side context, from this edition's own sources</w:t>
            </w:r>
          </w:p>
        </w:tc>
        <w:tc>
          <w:tcPr/>
          <w:p>
            <w:pPr>
              <w:pStyle w:val="Compact"/>
            </w:pPr>
            <w:r>
              <w:t xml:space="preserve">What remains genuinely unresolved</w:t>
            </w:r>
          </w:p>
        </w:tc>
      </w:tr>
      <w:tr>
        <w:tc>
          <w:tcPr/>
          <w:p>
            <w:pPr>
              <w:pStyle w:val="Compact"/>
            </w:pPr>
            <w:r>
              <w:t xml:space="preserve">70.5% of procurement award records carry no disclosed dollar value (§9)</w:t>
            </w:r>
          </w:p>
        </w:tc>
        <w:tc>
          <w:tcPr/>
          <w:p>
            <w:pPr>
              <w:pStyle w:val="Compact"/>
            </w:pPr>
            <w:r>
              <w:t xml:space="preserve">97.0% of high-value (&gt;$1M) awards</w:t>
            </w:r>
            <w:r>
              <w:t xml:space="preserve"> </w:t>
            </w:r>
            <w:r>
              <w:rPr>
                <w:i/>
                <w:iCs/>
              </w:rPr>
              <w:t xml:space="preserve">do</w:t>
            </w:r>
            <w:r>
              <w:t xml:space="preserve"> </w:t>
            </w:r>
            <w:r>
              <w:t xml:space="preserve">have a recoverable competitive bid tabulation already sitting in the raw scrape — the disclosure gap is concentrated in small/low-value records, not the transactions that carry the most public money.</w:t>
            </w:r>
          </w:p>
        </w:tc>
        <w:tc>
          <w:tcPr/>
          <w:p>
            <w:pPr>
              <w:pStyle w:val="Compact"/>
            </w:pPr>
            <w:r>
              <w:t xml:space="preserve">Why the smaller-value majority isn't disclosed consistently is still unanswered — and the biannual-threshold cross-check (56.8% of known-value awards exceed the current reporting threshold) hasn't been checked against the City's actual biannual reports yet.</w:t>
            </w:r>
          </w:p>
        </w:tc>
      </w:tr>
      <w:tr>
        <w:tc>
          <w:tcPr/>
          <w:p>
            <w:pPr>
              <w:pStyle w:val="Compact"/>
            </w:pPr>
            <w:r>
              <w:t xml:space="preserve">Springbank Dam: $4.35M award + $2.02M amendment ≈ $6.37M, ~112% above an earlier ~$3M news estimate (§15)</w:t>
            </w:r>
          </w:p>
        </w:tc>
        <w:tc>
          <w:tcPr/>
          <w:p>
            <w:pPr>
              <w:pStyle w:val="Compact"/>
            </w:pPr>
            <w:r>
              <w:t xml:space="preserve">The full engineering justification for the amendment is public and specific: a structural inspection found the concrete deck needed repairs across six times the estimated area, and the City's own analysis shows removing it now was cheaper than a 5-year patch-and-revisit — and the amended total still lands below the second-lowest bid from the original 2024 tender.</w:t>
            </w:r>
          </w:p>
        </w:tc>
        <w:tc>
          <w:tcPr/>
          <w:p>
            <w:pPr>
              <w:pStyle w:val="Compact"/>
            </w:pPr>
            <w:r>
              <w:t xml:space="preserve">The ~$3M figure was a news estimate, not a formal tender-stage budget — whether it was ever meant to be comparable to the final contract value at all is still an open question, and final project cost/completion status remain unconfirmed.</w:t>
            </w:r>
          </w:p>
        </w:tc>
      </w:tr>
      <w:tr>
        <w:tc>
          <w:tcPr/>
          <w:p>
            <w:pPr>
              <w:pStyle w:val="Compact"/>
            </w:pPr>
            <w:r>
              <w:t xml:space="preserve">Hubs cost more per bed than short-term shelters — $207–362/day vs. $121/day (§14)</w:t>
            </w:r>
          </w:p>
        </w:tc>
        <w:tc>
          <w:tcPr/>
          <w:p>
            <w:pPr>
              <w:pStyle w:val="Compact"/>
            </w:pPr>
            <w:r>
              <w:t xml:space="preserve">The Feb 2026 supplemental audit report gives a real cost-effectiveness case: national Housing First research showing ~69% of wrap-around costs offset by reduced shelter/health/justice use, and a specific case of one resident's ER visits falling from 221 to 9 year-over-year after a supportive-housing placement.</w:t>
            </w:r>
          </w:p>
        </w:tc>
        <w:tc>
          <w:tcPr/>
          <w:p>
            <w:pPr>
              <w:pStyle w:val="Compact"/>
            </w:pPr>
            <w:r>
              <w:t xml:space="preserve">Stevenson's original complaint — that Council doesn't know what the projected outcomes were before approving the investment — is a process critique the cost-benefit report doesn't retroactively resolve; retention and site-level outcome tracking (§14's MNP observation 1) remain incomplete.</w:t>
            </w:r>
          </w:p>
        </w:tc>
      </w:tr>
      <w:tr>
        <w:tc>
          <w:tcPr/>
          <w:p>
            <w:pPr>
              <w:pStyle w:val="Compact"/>
            </w:pPr>
            <w:r>
              <w:t xml:space="preserve">$946.1M–$1,378.1M 10-year infrastructure renewal gap (§5)</w:t>
            </w:r>
          </w:p>
        </w:tc>
        <w:tc>
          <w:tcPr/>
          <w:p>
            <w:pPr>
              <w:pStyle w:val="Compact"/>
            </w:pPr>
            <w:r>
              <w:t xml:space="preserve">The City's capital stock is real and expanding, not shrinking — $28.5B in current replacement value, a $4.4B life-to-date capital program with 56.8% already committed, and staff's own year-end assessment found no capital projects at risk of being over budget citywide (§15).</w:t>
            </w:r>
          </w:p>
        </w:tc>
        <w:tc>
          <w:tcPr/>
          <w:p>
            <w:pPr>
              <w:pStyle w:val="Compact"/>
            </w:pPr>
            <w:r>
              <w:t xml:space="preserve">A growing asset base doesn't shrink a renewal backlog measured against that same larger base — the gap is a real, cited figure from the City's own Asset Management Plan, not this review's construction, and it persists regardless of how well individual projects are tracking to budget.</w:t>
            </w:r>
          </w:p>
        </w:tc>
      </w:tr>
      <w:tr>
        <w:tc>
          <w:tcPr/>
          <w:p>
            <w:pPr>
              <w:pStyle w:val="Compact"/>
            </w:pPr>
            <w:r>
              <w:t xml:space="preserve">CIP audit found no funding cap on the Industrial Lands Development Charge rebate (§13)</w:t>
            </w:r>
          </w:p>
        </w:tc>
        <w:tc>
          <w:tcPr/>
          <w:p>
            <w:pPr>
              <w:pStyle w:val="Compact"/>
            </w:pPr>
            <w:r>
              <w:t xml:space="preserve">MNP's audit rated this finding Medium, not High, and explicitly notes current project volume has kept the exposure manageable so far; the same audit also found real strengths — clear, documented evaluation criteria and a structured, multi-layered decision process for both CIPs reviewed.</w:t>
            </w:r>
          </w:p>
        </w:tc>
        <w:tc>
          <w:tcPr/>
          <w:p>
            <w:pPr>
              <w:pStyle w:val="Compact"/>
            </w:pPr>
            <w:r>
              <w:t xml:space="preserve">"Manageable so far" is a present-tense observation, not a structural fix — the audit's own recommendation (introduce a cap or tiered structure) hasn't been implemented yet, and the City's own definitions for the Downtown CIP still date to 1996.</w:t>
            </w:r>
          </w:p>
        </w:tc>
      </w:tr>
    </w:tbl>
    <w:p>
      <w:pPr>
        <w:pStyle w:val="BodyText"/>
      </w:pPr>
      <w:r>
        <w:rPr>
          <w:b/>
          <w:bCs/>
        </w:rPr>
        <w:t xml:space="preserve">Why this section exists:</w:t>
      </w:r>
      <w:r>
        <w:t xml:space="preserve"> </w:t>
      </w:r>
      <w:r>
        <w:t xml:space="preserve">Why this section exists A reader who only sees this edition's critical findings has a reasonable basis to dismiss it as one-sided. Every row above shows this review finding and publishing evidence that cuts against its own thesis, in its own words, from sources it already verified — not softened after the fact. That's the standard this edition's verification declaration (§24) already claims; this section is where that standard has to actually show its work.</w:t>
      </w:r>
    </w:p>
    <w:bookmarkEnd w:id="82"/>
    <w:bookmarkStart w:id="83" w:name="what-still-cannot-be-verified"/>
    <w:p>
      <w:pPr>
        <w:pStyle w:val="Heading2"/>
      </w:pPr>
      <w:r>
        <w:t xml:space="preserve">What still cannot be verified</w:t>
      </w:r>
    </w:p>
    <w:p>
      <w:pPr>
        <w:pStyle w:val="FirstParagraph"/>
      </w:pPr>
      <w:r>
        <w:t xml:space="preserve">Honest accounting of what re-derivation did</w:t>
      </w:r>
      <w:r>
        <w:t xml:space="preserve"> </w:t>
      </w:r>
      <w:r>
        <w:rPr>
          <w:i/>
          <w:iCs/>
        </w:rPr>
        <w:t xml:space="preserve">not</w:t>
      </w:r>
      <w:r>
        <w:t xml:space="preserve"> </w:t>
      </w:r>
      <w:r>
        <w:t xml:space="preserve">fix</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Module</w:t>
            </w:r>
          </w:p>
        </w:tc>
        <w:tc>
          <w:tcPr/>
          <w:p>
            <w:pPr>
              <w:pStyle w:val="Compact"/>
            </w:pPr>
            <w:r>
              <w:t xml:space="preserve">Status</w:t>
            </w:r>
          </w:p>
        </w:tc>
        <w:tc>
          <w:tcPr/>
          <w:p>
            <w:pPr>
              <w:pStyle w:val="Compact"/>
            </w:pPr>
            <w:r>
              <w:t xml:space="preserve">Why it's still excluded</w:t>
            </w:r>
          </w:p>
        </w:tc>
      </w:tr>
      <w:tr>
        <w:tc>
          <w:tcPr/>
          <w:p>
            <w:pPr>
              <w:pStyle w:val="Compact"/>
            </w:pPr>
            <w:r>
              <w:t xml:space="preserve">Capital-slippage / uncommitted authority</w:t>
            </w:r>
          </w:p>
        </w:tc>
        <w:tc>
          <w:tcPr/>
          <w:p>
            <w:pPr>
              <w:pStyle w:val="Compact"/>
            </w:pPr>
            <w:r>
              <w:t xml:space="preserve">Still excluded</w:t>
            </w:r>
          </w:p>
        </w:tc>
        <w:tc>
          <w:tcPr/>
          <w:p>
            <w:pPr>
              <w:pStyle w:val="Compact"/>
            </w:pPr>
            <w:r>
              <w:t xml:space="preserve">Requires project-level budget-vs-actual variance data (a capital-monitoring workbook or year-end financial statements), which was not located.</w:t>
            </w:r>
          </w:p>
        </w:tc>
      </w:tr>
      <w:tr>
        <w:tc>
          <w:tcPr/>
          <w:p>
            <w:pPr>
              <w:pStyle w:val="Compact"/>
            </w:pPr>
            <w:r>
              <w:t xml:space="preserve">Consultant–contractor co-occurrence</w:t>
            </w:r>
          </w:p>
        </w:tc>
        <w:tc>
          <w:tcPr/>
          <w:p>
            <w:pPr>
              <w:pStyle w:val="Compact"/>
            </w:pPr>
            <w:r>
              <w:t xml:space="preserve">Still excluded</w:t>
            </w:r>
          </w:p>
        </w:tc>
        <w:tc>
          <w:tcPr/>
          <w:p>
            <w:pPr>
              <w:pStyle w:val="Compact"/>
            </w:pPr>
            <w:r>
              <w:t xml:space="preserve">Would require matching individual staff reports to award records by project — the original co-occurrence workbook and staff-report packets weren't recoverable.</w:t>
            </w:r>
          </w:p>
        </w:tc>
      </w:tr>
      <w:tr>
        <w:tc>
          <w:tcPr/>
          <w:p>
            <w:pPr>
              <w:pStyle w:val="Compact"/>
            </w:pPr>
            <w:r>
              <w:t xml:space="preserve">Community grants (non-CIP)</w:t>
            </w:r>
          </w:p>
        </w:tc>
        <w:tc>
          <w:tcPr/>
          <w:p>
            <w:pPr>
              <w:pStyle w:val="Compact"/>
            </w:pPr>
            <w:r>
              <w:t xml:space="preserve">Built</w:t>
            </w:r>
          </w:p>
        </w:tc>
        <w:tc>
          <w:tcPr/>
          <w:p>
            <w:pPr>
              <w:pStyle w:val="Compact"/>
            </w:pPr>
            <w:r>
              <w:t xml:space="preserve">§13 now has the full $250,000 annual "Grassroots/Innovation/Capital" stream (16 recipients) and the full $8.88M Multi-Year (2024–2027) stream (41 recipients, both itemized and source-checked).</w:t>
            </w:r>
          </w:p>
        </w:tc>
      </w:tr>
      <w:tr>
        <w:tc>
          <w:tcPr/>
          <w:p>
            <w:pPr>
              <w:pStyle w:val="Compact"/>
            </w:pPr>
            <w:r>
              <w:t xml:space="preserve">Full CIP beneficiary ledger</w:t>
            </w:r>
          </w:p>
        </w:tc>
        <w:tc>
          <w:tcPr/>
          <w:p>
            <w:pPr>
              <w:pStyle w:val="Compact"/>
            </w:pPr>
            <w:r>
              <w:t xml:space="preserve">Thin sample only</w:t>
            </w:r>
          </w:p>
        </w:tc>
        <w:tc>
          <w:tcPr/>
          <w:p>
            <w:pPr>
              <w:pStyle w:val="Compact"/>
            </w:pPr>
            <w:r>
              <w:t xml:space="preserve">Only 2 of an unknown total number of approvals independently verified (a 3rd lead, McCormick Villages Inc., ~$13,239, remains unverified). §13 now has the full 32-program CIP toolkit for scale and a real Internal Audit of 2 of those programs (Downtown, Industrial Lands) — but a single consolidated per-approval ledger across all 32 programs was confirmed, by direct check, not to exist publicly.</w:t>
            </w:r>
          </w:p>
        </w:tc>
      </w:tr>
    </w:tbl>
    <w:bookmarkEnd w:id="83"/>
    <w:bookmarkStart w:id="84" w:name="phase-2-evidence-and-build-roadmap"/>
    <w:p>
      <w:pPr>
        <w:pStyle w:val="Heading2"/>
      </w:pPr>
      <w:r>
        <w:t xml:space="preserve">Phase 2 — evidence and build roadmap</w:t>
      </w:r>
    </w:p>
    <w:p>
      <w:pPr>
        <w:pStyle w:val="FirstParagraph"/>
      </w:pPr>
      <w:r>
        <w:t xml:space="preserve">A twelve-point brief for the next edition, scored against what's in hand today</w:t>
      </w:r>
    </w:p>
    <w:p>
      <w:pPr>
        <w:pStyle w:val="BodyText"/>
      </w:pPr>
      <w:r>
        <w:t xml:space="preserve">A separate brief asked for this edition to be rebuilt around twelve larger investigative modules — named-project case files, a full procurement-policy compliance audit, an operating-budget audit, a workforce-productivity audit, a financial-condition module, deeper capital tracking, a rebuilt "strategy inflation" module, complete grants/CIP audits, a housing conversion-funnel audit, service-specific modules (transit, police, fire, water, and more), a crosswalk against the City's internal audits, and a formal evidence/publication system. Three of those (HHI concentration, the operating-budget top layer, and financial condition) are now built above with real, cited numbers. The rest is scoped honestly below rather than filled in with placeholder figures: this edition's own verification standard (§2) does not permit publishing a number that cannot be traced to a source, and no source document exists in the current evidence set for most of what follows.</w:t>
      </w:r>
    </w:p>
    <w:p>
      <w:pPr>
        <w:pStyle w:val="TableCaption"/>
      </w:pPr>
      <w:r>
        <w:t xml:space="preserve">Status as of this evidence lock. "Needs" names the specific document or dataset the next edition requires.</w:t>
      </w:r>
    </w:p>
    <w:tbl>
      <w:tblPr>
        <w:tblStyle w:val="Table"/>
        <w:tblW w:type="auto" w:w="0"/>
        <w:tblLook w:firstRow="1" w:lastRow="0" w:firstColumn="0" w:lastColumn="0" w:noHBand="0" w:noVBand="0" w:val="0020"/>
        <w:tblCaption w:val="Status as of this evidence lock. &quot;Needs&quot; names the specific document or dataset the next edition requires."/>
      </w:tblPr>
      <w:tblGrid>
        <w:gridCol w:w="2640"/>
        <w:gridCol w:w="2640"/>
        <w:gridCol w:w="2640"/>
      </w:tblGrid>
      <w:tr>
        <w:trPr>
          <w:tblHeader w:val="on"/>
        </w:trPr>
        <w:tc>
          <w:tcPr/>
          <w:p>
            <w:pPr>
              <w:pStyle w:val="Compact"/>
            </w:pPr>
            <w:r>
              <w:t xml:space="preserve">Ask</w:t>
            </w:r>
          </w:p>
        </w:tc>
        <w:tc>
          <w:tcPr/>
          <w:p>
            <w:pPr>
              <w:pStyle w:val="Compact"/>
            </w:pPr>
            <w:r>
              <w:t xml:space="preserve">Status</w:t>
            </w:r>
          </w:p>
        </w:tc>
        <w:tc>
          <w:tcPr/>
          <w:p>
            <w:pPr>
              <w:pStyle w:val="Compact"/>
            </w:pPr>
            <w:r>
              <w:t xml:space="preserve">Needs</w:t>
            </w:r>
          </w:p>
        </w:tc>
      </w:tr>
      <w:tr>
        <w:tc>
          <w:tcPr/>
          <w:p>
            <w:pPr>
              <w:pStyle w:val="Compact"/>
            </w:pPr>
            <w:r>
              <w:rPr>
                <w:b/>
                <w:bCs/>
              </w:rPr>
              <w:t xml:space="preserve">1. Case files</w:t>
            </w:r>
            <w:r>
              <w:t xml:space="preserve"> </w:t>
            </w:r>
            <w:r>
              <w:t xml:space="preserve">— Mud Creek 2B, 401 Interchange, Springbank Dam, Wharncliffe Rd, Contingency Reserve, Roads/Wastewater DC funds, top 5 service-improvement projects, LJM brownfield, HAF properties, top grant recipients</w:t>
            </w:r>
          </w:p>
        </w:tc>
        <w:tc>
          <w:tcPr/>
          <w:p>
            <w:pPr>
              <w:pStyle w:val="Compact"/>
            </w:pPr>
            <w:r>
              <w:t xml:space="preserve">Partially built</w:t>
            </w:r>
          </w:p>
        </w:tc>
        <w:tc>
          <w:tcPr/>
          <w:p>
            <w:pPr>
              <w:pStyle w:val="Compact"/>
            </w:pPr>
            <w:r>
              <w:t xml:space="preserve">§15 now has 6 real, source-checked case files, three (Mud Creek 2B, Springbank Dam, Wharncliffe) joined directly against this review's own procurement dataset for the actual award vendor and amount, and two of those (Mud Creek 2B, Springbank Dam) further strengthened with a real, dated contract-amendment dollar figure from the City's own 2025 Year-End Capital Budget Monitoring Report — recovering a specific, quantified ~112% cumulative budget-to-award-plus-amendment variance on Springbank Dam. That same Monitoring Report also supplies a citywide change-order rate (4.3%→5.61%, 2024→2025) as programmatic context, though still not a per-project figure for any of the six case files. §3 has a fully recomputed, self-verified top-5 service-improvement ranking. §13 has the full Multi-Year grant recipient list. Still missing: per-project change-order histories, physical percent-complete, and address-level HAF property/loan approvals.</w:t>
            </w:r>
          </w:p>
        </w:tc>
      </w:tr>
      <w:tr>
        <w:tc>
          <w:tcPr/>
          <w:p>
            <w:pPr>
              <w:pStyle w:val="Compact"/>
            </w:pPr>
            <w:r>
              <w:rPr>
                <w:b/>
                <w:bCs/>
              </w:rPr>
              <w:t xml:space="preserve">2. Procurement-policy compliance audit</w:t>
            </w:r>
            <w:r>
              <w:t xml:space="preserve"> </w:t>
            </w:r>
            <w:r>
              <w:t xml:space="preserve">— annual/biannual reports, tender type, sole-source, bid spread, disqualifications, supplier performance, HHI, corporate-family normalization, geography</w:t>
            </w:r>
          </w:p>
        </w:tc>
        <w:tc>
          <w:tcPr/>
          <w:p>
            <w:pPr>
              <w:pStyle w:val="Compact"/>
            </w:pPr>
            <w:r>
              <w:t xml:space="preserve">Partially built</w:t>
            </w:r>
          </w:p>
        </w:tc>
        <w:tc>
          <w:tcPr/>
          <w:p>
            <w:pPr>
              <w:pStyle w:val="Compact"/>
            </w:pPr>
            <w:r>
              <w:t xml:space="preserve">§9 now has: HHI overall, by category, and corporate-family-normalized (tested, unchanged); the current-vs-2019 policy comparison table (5 amendments, 2 endpoints directly quoted); a real cross-check that 332/584 known-value awards exceed the current biannual-reporting threshold; and 49.4%/97.0% bid-tabulation recovery straight from the existing scrape (no new scraping). Full reproducible package (raw/normalized CSVs, parser documentation, calculation log) at</w:t>
            </w:r>
            <w:r>
              <w:t xml:space="preserve"> </w:t>
            </w:r>
            <w:r>
              <w:rPr>
                <w:rStyle w:val="VerbatimChar"/>
              </w:rPr>
              <w:t xml:space="preserve">london_procurement_final/06_reproducibility_package/</w:t>
            </w:r>
            <w:r>
              <w:t xml:space="preserve">. Missing: the 3 intervening policy amendments' exact text, cross-checking the 332-award list against the City's actual biannual reports, and geographic vendor split (not derivable from award text alone).</w:t>
            </w:r>
          </w:p>
        </w:tc>
      </w:tr>
      <w:tr>
        <w:tc>
          <w:tcPr/>
          <w:p>
            <w:pPr>
              <w:pStyle w:val="Compact"/>
            </w:pPr>
            <w:r>
              <w:rPr>
                <w:b/>
                <w:bCs/>
              </w:rPr>
              <w:t xml:space="preserve">3. Operating-budget audit</w:t>
            </w:r>
            <w:r>
              <w:t xml:space="preserve"> </w:t>
            </w:r>
            <w:r>
              <w:t xml:space="preserve">— variance, cost/resident, staffing share, 5-year real trend, temporary→permanent spending</w:t>
            </w:r>
          </w:p>
        </w:tc>
        <w:tc>
          <w:tcPr/>
          <w:p>
            <w:pPr>
              <w:pStyle w:val="Compact"/>
            </w:pPr>
            <w:r>
              <w:t xml:space="preserve">Partially built</w:t>
            </w:r>
          </w:p>
        </w:tc>
        <w:tc>
          <w:tcPr/>
          <w:p>
            <w:pPr>
              <w:pStyle w:val="Compact"/>
            </w:pPr>
            <w:r>
              <w:t xml:space="preserve">Top-line 9-function budget-vs-actual added in §4 from the audited statement, plus a real staffing-cost-share figure (35.2% → 36.8%, 2024–2027) from the City's own object-code budget book. Missing: multiple years of trend data, cost-per-resident (needs a population figure), and internal service-level budget books below the 9 PSAB functions.</w:t>
            </w:r>
          </w:p>
        </w:tc>
      </w:tr>
      <w:tr>
        <w:tc>
          <w:tcPr/>
          <w:p>
            <w:pPr>
              <w:pStyle w:val="Compact"/>
            </w:pPr>
            <w:r>
              <w:rPr>
                <w:b/>
                <w:bCs/>
              </w:rPr>
              <w:t xml:space="preserve">4. Workforce-productivity audit</w:t>
            </w:r>
            <w:r>
              <w:t xml:space="preserve"> </w:t>
            </w:r>
            <w:r>
              <w:t xml:space="preserve">— total FTEs, management ratio, spans/layers, overtime, vacancy, turnover</w:t>
            </w:r>
          </w:p>
        </w:tc>
        <w:tc>
          <w:tcPr/>
          <w:p>
            <w:pPr>
              <w:pStyle w:val="Compact"/>
            </w:pPr>
            <w:r>
              <w:t xml:space="preserve">Partially built</w:t>
            </w:r>
          </w:p>
        </w:tc>
        <w:tc>
          <w:tcPr/>
          <w:p>
            <w:pPr>
              <w:pStyle w:val="Compact"/>
            </w:pPr>
            <w:r>
              <w:t xml:space="preserve">§12 now has a real total-FTE figure (4,690.9, summed from all 92 City Business Plans, 2024), the Sunshine List coverage ratio (~17.7%), two real scope-matched productivity ratios (lane-km/FTE for Roadway Maintenance, permits/FTE for Building Approvals), a Fire responses-per-FTE ratio, and — found this pass, from Ontario's official 2025 Financial Information Return (Schedule 80A) — the real sworn/civilian split for both Police (781 sworn / 1,085 FT total) and Fire (376 sworn / 456 FT total) and a citywide funded-position total (5,358 FT + 269 PT + 2,042 seasonal) that closes the previously-dropped "sworn officer count" question outright. Checked and ruled out this pass, not just left open: a province-funded Service Delivery/Organizational Review for London (none exists, confirmed against the funding program's own report registry) and whether the FIR or the City's operating-budget monitoring reports carry overtime/vacancy-rate/turnover/management-ratio data (checked directly — they don't, beyond one narrow, real, fund-specific vacancy-savings dollar figure). Still missing, confirmed genuinely records-request-only rather than just unsearched: overtime dollars, a citywide vacancy rate, turnover, and a true management ratio (the only role-level data available, the Sunshine List bucket, uses an incompatible denominator to compute one cleanly).</w:t>
            </w:r>
          </w:p>
        </w:tc>
      </w:tr>
      <w:tr>
        <w:tc>
          <w:tcPr/>
          <w:p>
            <w:pPr>
              <w:pStyle w:val="Compact"/>
            </w:pPr>
            <w:r>
              <w:rPr>
                <w:b/>
                <w:bCs/>
              </w:rPr>
              <w:t xml:space="preserve">5. Financial-condition module</w:t>
            </w:r>
            <w:r>
              <w:t xml:space="preserve"> </w:t>
            </w:r>
            <w:r>
              <w:t xml:space="preserve">— net debt, benefits, contingent liabilities, commitments, reserve/DC cash-flow stress test</w:t>
            </w:r>
          </w:p>
        </w:tc>
        <w:tc>
          <w:tcPr/>
          <w:p>
            <w:pPr>
              <w:pStyle w:val="Compact"/>
            </w:pPr>
            <w:r>
              <w:t xml:space="preserve">Built</w:t>
            </w:r>
          </w:p>
        </w:tc>
        <w:tc>
          <w:tcPr/>
          <w:p>
            <w:pPr>
              <w:pStyle w:val="Compact"/>
            </w:pPr>
            <w:r>
              <w:t xml:space="preserve">See §11, from the 2024 audited statements. Still missing: a 10-year trend (needs prior years' statements) and a real sensitivity/stress model on the §10 reserve balances (housing starts, rate changes, exemption uptake) — a modelling exercise, not a sourcing gap.</w:t>
            </w:r>
          </w:p>
        </w:tc>
      </w:tr>
      <w:tr>
        <w:tc>
          <w:tcPr/>
          <w:p>
            <w:pPr>
              <w:pStyle w:val="Compact"/>
            </w:pPr>
            <w:r>
              <w:rPr>
                <w:b/>
                <w:bCs/>
              </w:rPr>
              <w:t xml:space="preserve">6. Deeper per-project capital tracking</w:t>
            </w:r>
            <w:r>
              <w:t xml:space="preserve"> </w:t>
            </w:r>
            <w:r>
              <w:t xml:space="preserve">— budget/schedule history, cost-per-unit benchmarks, service-improvement sub-classification</w:t>
            </w:r>
          </w:p>
        </w:tc>
        <w:tc>
          <w:tcPr/>
          <w:p>
            <w:pPr>
              <w:pStyle w:val="Compact"/>
            </w:pPr>
            <w:r>
              <w:t xml:space="preserve">Not built</w:t>
            </w:r>
          </w:p>
        </w:tc>
        <w:tc>
          <w:tcPr/>
          <w:p>
            <w:pPr>
              <w:pStyle w:val="Compact"/>
            </w:pPr>
            <w:r>
              <w:t xml:space="preserve">Same gap as #1 — no per-project source documents in hand.</w:t>
            </w:r>
          </w:p>
        </w:tc>
      </w:tr>
      <w:tr>
        <w:tc>
          <w:tcPr/>
          <w:p>
            <w:pPr>
              <w:pStyle w:val="Compact"/>
            </w:pPr>
            <w:r>
              <w:rPr>
                <w:b/>
                <w:bCs/>
              </w:rPr>
              <w:t xml:space="preserve">7. Strategy-inflation → planning-to-output traceability</w:t>
            </w:r>
          </w:p>
        </w:tc>
        <w:tc>
          <w:tcPr/>
          <w:p>
            <w:pPr>
              <w:pStyle w:val="Compact"/>
            </w:pPr>
            <w:r>
              <w:t xml:space="preserve">Partial lead only</w:t>
            </w:r>
          </w:p>
        </w:tc>
        <w:tc>
          <w:tcPr/>
          <w:p>
            <w:pPr>
              <w:pStyle w:val="Compact"/>
            </w:pPr>
            <w:r>
              <w:t xml:space="preserve">No "strategy inflation" module exists in Editions 1.0–3.0 as verified here to rebuild. Confirmed real and findable: the City's live Corporate Energy Consumption Dashboard (monthly energy use/cost by facility) and annual Corporate Energy Use and GHG Emissions Report, plus the Strategic Plan 2023-2027 Performance Dashboard (tracks each action as complete/on-track/behind). Neither was pulled into a built module this pass — both are real, accessible next steps.</w:t>
            </w:r>
          </w:p>
        </w:tc>
      </w:tr>
      <w:tr>
        <w:tc>
          <w:tcPr/>
          <w:p>
            <w:pPr>
              <w:pStyle w:val="Compact"/>
            </w:pPr>
            <w:r>
              <w:rPr>
                <w:b/>
                <w:bCs/>
              </w:rPr>
              <w:t xml:space="preserve">8. Full grants and CIP outcomes audit</w:t>
            </w:r>
          </w:p>
        </w:tc>
        <w:tc>
          <w:tcPr/>
          <w:p>
            <w:pPr>
              <w:pStyle w:val="Compact"/>
            </w:pPr>
            <w:r>
              <w:t xml:space="preserve">Substantially built</w:t>
            </w:r>
          </w:p>
        </w:tc>
        <w:tc>
          <w:tcPr/>
          <w:p>
            <w:pPr>
              <w:pStyle w:val="Compact"/>
            </w:pPr>
            <w:r>
              <w:t xml:space="preserve">§13 now has the complete 16-recipient annual grants list, the full 41-recipient/$8.88M Multi-Year (2024–2027) stream, 2 verified CIP rows, and — found this pass — the real scope of the CIP toolkit itself: 32 individually named incentive programs citywide/by neighbourhood (4 now closed/fully allocated), confirmed to have no consolidated approvals ledger by direct check, not just unsearched. Also found and read the previously-unretrieved</w:t>
            </w:r>
            <w:r>
              <w:t xml:space="preserve"> </w:t>
            </w:r>
            <w:r>
              <w:rPr>
                <w:i/>
                <w:iCs/>
              </w:rPr>
              <w:t xml:space="preserve">Community Grants Metric Tool</w:t>
            </w:r>
            <w:r>
              <w:t xml:space="preserve"> </w:t>
            </w:r>
            <w:r>
              <w:t xml:space="preserve">(2019) — a real document, but a self-report metric-selection menu for applicants, not an outcomes database, which is itself the answer to why no aggregate grants-outcomes ledger exists: results are self-reported per grantee against self-chosen metrics, not centrally standardized. Still missing: a full per-approval CIP beneficiary ledger (no consolidating document exists) and any completed outcomes report using the Metric Tool's own framework.</w:t>
            </w:r>
          </w:p>
        </w:tc>
      </w:tr>
      <w:tr>
        <w:tc>
          <w:tcPr/>
          <w:p>
            <w:pPr>
              <w:pStyle w:val="Compact"/>
            </w:pPr>
            <w:r>
              <w:rPr>
                <w:b/>
                <w:bCs/>
              </w:rPr>
              <w:t xml:space="preserve">9. Housing conversion-funnel audit</w:t>
            </w:r>
            <w:r>
              <w:t xml:space="preserve"> </w:t>
            </w:r>
            <w:r>
              <w:t xml:space="preserve">— stage-to-stage cohort tracking, subsidy per completion, homelessness linkage</w:t>
            </w:r>
          </w:p>
        </w:tc>
        <w:tc>
          <w:tcPr/>
          <w:p>
            <w:pPr>
              <w:pStyle w:val="Compact"/>
            </w:pPr>
            <w:r>
              <w:t xml:space="preserve">Partially built</w:t>
            </w:r>
          </w:p>
        </w:tc>
        <w:tc>
          <w:tcPr/>
          <w:p>
            <w:pPr>
              <w:pStyle w:val="Compact"/>
            </w:pPr>
            <w:r>
              <w:t xml:space="preserve">§6–§8 are still point-in-time, not cohort/date tracking, but §14 now has real per-bed cost data from Susan Stevenson's Audit Committee letter ($6,304/month Atlohsa vs. $11,021/month Y.O.U., against a ~$12M 2023 investment), and — found this pass — the underlying MNP audit itself (not just her letter about it), with 3 rated observations (2 Medium, 1 Low, none High), a real Hub-implementation-status count (2 of 5 planned Hubs operational, 15+ months past the original May 2024 target), and correctly-attributed outcome evidence (100+ served, 40+ into stable housing, sourced by MNP to a separate Aug 2025 evaluation report). §6 now has a real multi-year construction-value trend (2021–2024) and confirms "Roadmap to 3,000" affordable housing is 2,139/3,000 (~71.3%) complete. §8 confirms the City's three live Power BI homelessness dashboards and CHAI model are real, and TOD forgivable-loan results were re-checked and remain genuinely not public. §8 also corrects a real error from a prior pass: the "New Home Ownership Incentive Program" this review previously described as if operating was in fact sent back to staff and abandoned by April 2026 — found this pass from CBC and CTV coverage — and replaced with a different, real, approved ARU-grant and fee-waiver pivot. Still missing: the dashboards' current numbers (interactive Power BI, not extractable by this review's tools) and an address-level cohort ladder.</w:t>
            </w:r>
          </w:p>
        </w:tc>
      </w:tr>
      <w:tr>
        <w:tc>
          <w:tcPr/>
          <w:p>
            <w:pPr>
              <w:pStyle w:val="Compact"/>
            </w:pPr>
            <w:r>
              <w:rPr>
                <w:b/>
                <w:bCs/>
              </w:rPr>
              <w:t xml:space="preserve">10. Service-specific modules</w:t>
            </w:r>
            <w:r>
              <w:t xml:space="preserve"> </w:t>
            </w:r>
            <w:r>
              <w:t xml:space="preserve">— transit, police, fire, water/wastewater, roads, recreation, real estate, fleet, IT, revenue leakage, legal/insurance, econ-dev incentives</w:t>
            </w:r>
          </w:p>
        </w:tc>
        <w:tc>
          <w:tcPr/>
          <w:p>
            <w:pPr>
              <w:pStyle w:val="Compact"/>
            </w:pPr>
            <w:r>
              <w:t xml:space="preserve">Real data, 13 of ~14</w:t>
            </w:r>
          </w:p>
        </w:tc>
        <w:tc>
          <w:tcPr/>
          <w:p>
            <w:pPr>
              <w:pStyle w:val="Compact"/>
            </w:pPr>
            <w:r>
              <w:t xml:space="preserve">§11 lists the 13 consolidated boards/entities as a starting point. Real performance/condition/outcome data now exists for eleven: LTC, London Police Service, Fire, Water, Wastewater, Roads, Parking, Recreation,</w:t>
            </w:r>
            <w:r>
              <w:t xml:space="preserve"> </w:t>
            </w:r>
            <w:r>
              <w:rPr>
                <w:b/>
                <w:bCs/>
              </w:rPr>
              <w:t xml:space="preserve">Fleet</w:t>
            </w:r>
            <w:r>
              <w:t xml:space="preserve"> </w:t>
            </w:r>
            <w:r>
              <w:t xml:space="preserve">(87% Fair-to-Very-Good condition, full age-vs-expected-life detail),</w:t>
            </w:r>
            <w:r>
              <w:t xml:space="preserve"> </w:t>
            </w:r>
            <w:r>
              <w:rPr>
                <w:b/>
                <w:bCs/>
              </w:rPr>
              <w:t xml:space="preserve">IT</w:t>
            </w:r>
            <w:r>
              <w:t xml:space="preserve"> </w:t>
            </w:r>
            <w:r>
              <w:t xml:space="preserve">(asset age/replacement value, zero identified infrastructure gap) and</w:t>
            </w:r>
            <w:r>
              <w:t xml:space="preserve"> </w:t>
            </w:r>
            <w:r>
              <w:rPr>
                <w:b/>
                <w:bCs/>
              </w:rPr>
              <w:t xml:space="preserve">Economic Development</w:t>
            </w:r>
            <w:r>
              <w:t xml:space="preserve"> </w:t>
            </w:r>
            <w:r>
              <w:t xml:space="preserve">(LEDC's own 2024 activity data: 1,100 jobs added, $190M investment attracted, $27M+ property tax generated) — all in §10.</w:t>
            </w:r>
            <w:r>
              <w:t xml:space="preserve"> </w:t>
            </w:r>
            <w:r>
              <w:rPr>
                <w:b/>
                <w:bCs/>
              </w:rPr>
              <w:t xml:space="preserve">Real estate</w:t>
            </w:r>
            <w:r>
              <w:t xml:space="preserve"> </w:t>
            </w:r>
            <w:r>
              <w:t xml:space="preserve">now has a real audited aggregate (§10: $557M land + $612M buildings, net book value) though not an itemized inventory. Found this pass, from the same 2025 Financial Information Return used for §12's workforce data:</w:t>
            </w:r>
            <w:r>
              <w:t xml:space="preserve"> </w:t>
            </w:r>
            <w:r>
              <w:rPr>
                <w:b/>
                <w:bCs/>
              </w:rPr>
              <w:t xml:space="preserve">Legal/Risk</w:t>
            </w:r>
            <w:r>
              <w:t xml:space="preserve"> </w:t>
            </w:r>
            <w:r>
              <w:t xml:space="preserve">now has a real $78.3M accrued WSIB claims liability and a $0/nil disclosed pending-litigation contingent liability (caveated — likely reflects immateriality convention, not zero claims);</w:t>
            </w:r>
            <w:r>
              <w:t xml:space="preserve"> </w:t>
            </w:r>
            <w:r>
              <w:rPr>
                <w:b/>
                <w:bCs/>
              </w:rPr>
              <w:t xml:space="preserve">revenue leakage</w:t>
            </w:r>
            <w:r>
              <w:t xml:space="preserve"> </w:t>
            </w:r>
            <w:r>
              <w:t xml:space="preserve">now has a real $13.5M citywide allowance for uncollectable taxes against $0 actual write-offs/tax sales in 2025. Neither is a claims-count or leakage-rate figure — both are real, official, dollar-scale answers where none existed before. City Business Plans alone never contain KPIs — every performance figure in this edition came from a separate master-plan, regulatory, provincial-filing, or arm's-length-entity report.</w:t>
            </w:r>
          </w:p>
        </w:tc>
      </w:tr>
      <w:tr>
        <w:tc>
          <w:tcPr/>
          <w:p>
            <w:pPr>
              <w:pStyle w:val="Compact"/>
            </w:pPr>
            <w:r>
              <w:rPr>
                <w:b/>
                <w:bCs/>
              </w:rPr>
              <w:t xml:space="preserve">11. Crosswalk against the City's internal audits</w:t>
            </w:r>
            <w:r>
              <w:t xml:space="preserve"> </w:t>
            </w:r>
            <w:r>
              <w:t xml:space="preserve">— findings, recommendations, management response, current status</w:t>
            </w:r>
          </w:p>
        </w:tc>
        <w:tc>
          <w:tcPr/>
          <w:p>
            <w:pPr>
              <w:pStyle w:val="Compact"/>
            </w:pPr>
            <w:r>
              <w:t xml:space="preserve">Built</w:t>
            </w:r>
          </w:p>
        </w:tc>
        <w:tc>
          <w:tcPr/>
          <w:p>
            <w:pPr>
              <w:pStyle w:val="Compact"/>
            </w:pPr>
            <w:r>
              <w:rPr>
                <w:b/>
                <w:bCs/>
              </w:rPr>
              <w:t xml:space="preserve">Substantially rebuilt this pass around the City's real Internal Audit Plan</w:t>
            </w:r>
            <w:r>
              <w:t xml:space="preserve"> </w:t>
            </w:r>
            <w:r>
              <w:t xml:space="preserve">(§13), retrieved directly from the Sept 10, 2025 and Feb 25, 2026 Audit Committee packages. Six audits now independently verified with real content: the complete Housing/Homelessness VfM Audit</w:t>
            </w:r>
            <w:r>
              <w:t xml:space="preserve"> </w:t>
            </w:r>
            <w:r>
              <w:rPr>
                <w:i/>
                <w:iCs/>
              </w:rPr>
              <w:t xml:space="preserve">and</w:t>
            </w:r>
            <w:r>
              <w:t xml:space="preserve"> </w:t>
            </w:r>
            <w:r>
              <w:t xml:space="preserve">its Feb 2026 Council-directed supplemental cost-benefit report (§14); the complete 24-page NDM Program VfM Audit (§13); the complete 16-page Community Improvement Plans Audit — Downtown and Industrial Lands specifically (§13); the Community Grants Program audit's 2 real findings via its quarterly follow-up dashboard (§13); the Vendor Risk Management Audit, all 5 actions closed, tied directly to the June 2025 procurement-policy revision (§9); and the London Housing Development Projects Lessons Learned Review (tenant-mix, payment-certifier and reserve-fund findings tied to Roadmap to 3,000).</w:t>
            </w:r>
            <w:r>
              <w:t xml:space="preserve"> </w:t>
            </w:r>
            <w:r>
              <w:rPr>
                <w:b/>
                <w:bCs/>
              </w:rPr>
              <w:t xml:space="preserve">Two corrections to earlier passes:</w:t>
            </w:r>
            <w:r>
              <w:t xml:space="preserve"> </w:t>
            </w:r>
            <w:r>
              <w:t xml:space="preserve">this edition previously said no Community Grants Program audit existed, and that CIPs were only a "potential future" audit topic — both were wrong; both audits exist and are now sourced. Three more named audits (Creating a Safe London for Women and Girls, ARAO, Performance Measurement) are confirmed complete but their reports weren't retrieved this pass; two (Climate Emergency Action Plan, Subdivision Review Process) were still in scoping as of the last plan update found (Feb 2026).</w:t>
            </w:r>
          </w:p>
        </w:tc>
      </w:tr>
      <w:tr>
        <w:tc>
          <w:tcPr/>
          <w:p>
            <w:pPr>
              <w:pStyle w:val="Compact"/>
            </w:pPr>
            <w:r>
              <w:rPr>
                <w:b/>
                <w:bCs/>
              </w:rPr>
              <w:t xml:space="preserve">12. Formal evidence and publication system</w:t>
            </w:r>
            <w:r>
              <w:t xml:space="preserve"> </w:t>
            </w:r>
            <w:r>
              <w:t xml:space="preserve">— per-claim log, three-tier publication set, git repo, dashboard, archived sources</w:t>
            </w:r>
          </w:p>
        </w:tc>
        <w:tc>
          <w:tcPr/>
          <w:p>
            <w:pPr>
              <w:pStyle w:val="Compact"/>
            </w:pPr>
            <w:r>
              <w:t xml:space="preserve">Partially built</w:t>
            </w:r>
          </w:p>
        </w:tc>
        <w:tc>
          <w:tcPr/>
          <w:p>
            <w:pPr>
              <w:pStyle w:val="Compact"/>
            </w:pPr>
            <w:r>
              <w:t xml:space="preserve">Every figure here is already source-locked to a document and page (§22–23) — the substantive backbone. Not built: a machine-readable per-claim log with hashes/reviewer initials, the separate councillor-brief / public-report / technical-explorer publication tiers, a packaged git repo of the scrapers, or an archive of the council agendas cited. These are publishing-infrastructure decisions, buildable on request, separate from this document's sourcing.</w:t>
            </w:r>
          </w:p>
        </w:tc>
      </w:tr>
    </w:tbl>
    <w:p>
      <w:pPr>
        <w:pStyle w:val="BodyText"/>
      </w:pPr>
      <w:r>
        <w:rPr>
          <w:b/>
          <w:bCs/>
        </w:rPr>
        <w:t xml:space="preserve">Why this list isn't filled in with numbers:</w:t>
      </w:r>
      <w:r>
        <w:t xml:space="preserve"> </w:t>
      </w:r>
      <w:r>
        <w:t xml:space="preserve">Why this list isn't filled in with numbers Every retracted claim in Edition 2.0 was retracted for exactly one reason: a number existed but couldn't be traced to a document. Filling nine of these twelve asks with plausible-looking figures would recreate that same failure at a larger scale — for named capital projects, in front of whatever audience §24's outreach reaches. The honest version of "as much as possible" is: build what the evidence supports, and hand back a precise list of what to request next for the rest.</w:t>
      </w:r>
    </w:p>
    <w:bookmarkEnd w:id="84"/>
    <w:bookmarkStart w:id="90" w:name="five-evidence-safe-transparency-reforms"/>
    <w:p>
      <w:pPr>
        <w:pStyle w:val="Heading2"/>
      </w:pPr>
      <w:r>
        <w:t xml:space="preserve">Five evidence-safe transparency reforms</w:t>
      </w:r>
    </w:p>
    <w:p>
      <w:pPr>
        <w:pStyle w:val="FirstParagraph"/>
      </w:pPr>
      <w:r>
        <w:t xml:space="preserve">Policy proposals, not findings of wrongdoing — defensible even if every transaction reviewed was proper</w:t>
      </w:r>
    </w:p>
    <w:p>
      <w:pPr>
        <w:pStyle w:val="BodyText"/>
      </w:pPr>
      <w:r>
        <w:t xml:space="preserve">1</w:t>
      </w:r>
    </w:p>
    <w:bookmarkStart w:id="85" w:name="X070d05700ecdc1a95f74063cc0a3f2e5150532f"/>
    <w:p>
      <w:pPr>
        <w:pStyle w:val="Heading4"/>
      </w:pPr>
      <w:r>
        <w:t xml:space="preserve">Procurement and consultant assignment ledger</w:t>
      </w:r>
    </w:p>
    <w:p>
      <w:pPr>
        <w:pStyle w:val="FirstParagraph"/>
      </w:pPr>
      <w:r>
        <w:t xml:space="preserve">Publish vendor, award value, bid number, department, contract type, project ID, roster/task-order assignment, amendments and final status in machine-readable form. Would have made §9 a data pull instead of a scrape.</w:t>
      </w:r>
    </w:p>
    <w:bookmarkEnd w:id="85"/>
    <w:p>
      <w:pPr>
        <w:pStyle w:val="BodyText"/>
      </w:pPr>
      <w:r>
        <w:t xml:space="preserve">2</w:t>
      </w:r>
    </w:p>
    <w:bookmarkStart w:id="86" w:name="capital-project-reconciliation-dashboard"/>
    <w:p>
      <w:pPr>
        <w:pStyle w:val="Heading4"/>
      </w:pPr>
      <w:r>
        <w:t xml:space="preserve">Capital-project reconciliation dashboard</w:t>
      </w:r>
    </w:p>
    <w:p>
      <w:pPr>
        <w:pStyle w:val="FirstParagraph"/>
      </w:pPr>
      <w:r>
        <w:t xml:space="preserve">For major projects: connect original budget, award, financing source, approved adjustments, committed amount, schedule, final cost and closeout.</w:t>
      </w:r>
    </w:p>
    <w:bookmarkEnd w:id="86"/>
    <w:p>
      <w:pPr>
        <w:pStyle w:val="BodyText"/>
      </w:pPr>
      <w:r>
        <w:t xml:space="preserve">3</w:t>
      </w:r>
    </w:p>
    <w:bookmarkStart w:id="87" w:name="X55adef82d7b66ce6267d986b721d03d6dcda24a"/>
    <w:p>
      <w:pPr>
        <w:pStyle w:val="Heading4"/>
      </w:pPr>
      <w:r>
        <w:t xml:space="preserve">Reserve and development-charge project map</w:t>
      </w:r>
    </w:p>
    <w:p>
      <w:pPr>
        <w:pStyle w:val="FirstParagraph"/>
      </w:pPr>
      <w:r>
        <w:t xml:space="preserve">Publish funding source, annual draws, debt, tax/rate backfill, deferral status, project status and target-balance effects by project and fund — §10 shows the City already tracks most of this internally; it isn't published at project grain.</w:t>
      </w:r>
    </w:p>
    <w:bookmarkEnd w:id="87"/>
    <w:p>
      <w:pPr>
        <w:pStyle w:val="BodyText"/>
      </w:pPr>
      <w:r>
        <w:t xml:space="preserve">4</w:t>
      </w:r>
    </w:p>
    <w:bookmarkStart w:id="88" w:name="grant-and-cip-outcomes-ledger"/>
    <w:p>
      <w:pPr>
        <w:pStyle w:val="Heading4"/>
      </w:pPr>
      <w:r>
        <w:t xml:space="preserve">Grant and CIP outcomes ledger</w:t>
      </w:r>
    </w:p>
    <w:p>
      <w:pPr>
        <w:pStyle w:val="FirstParagraph"/>
      </w:pPr>
      <w:r>
        <w:t xml:space="preserve">Distinguish approved, committed, paid and completed status; publish intended target, actual output, conditions and completion evidence — would turn §13's two-row sample into a real ledger.</w:t>
      </w:r>
    </w:p>
    <w:bookmarkEnd w:id="88"/>
    <w:p>
      <w:pPr>
        <w:pStyle w:val="BodyText"/>
      </w:pPr>
      <w:r>
        <w:t xml:space="preserve">5</w:t>
      </w:r>
    </w:p>
    <w:bookmarkStart w:id="89" w:name="housing-delivery-pipeline"/>
    <w:p>
      <w:pPr>
        <w:pStyle w:val="Heading4"/>
      </w:pPr>
      <w:r>
        <w:t xml:space="preserve">Housing delivery pipeline</w:t>
      </w:r>
    </w:p>
    <w:p>
      <w:pPr>
        <w:pStyle w:val="FirstParagraph"/>
      </w:pPr>
      <w:r>
        <w:t xml:space="preserve">Link applications, approvals, permits, starts, completions, occupancy, affordability commitments and infrastructure dependencies without treating one stage as another.</w:t>
      </w:r>
    </w:p>
    <w:bookmarkEnd w:id="89"/>
    <w:bookmarkEnd w:id="90"/>
    <w:bookmarkStart w:id="93" w:name="public-use-wording"/>
    <w:p>
      <w:pPr>
        <w:pStyle w:val="Heading2"/>
      </w:pPr>
      <w:r>
        <w:t xml:space="preserve">Public-use wording</w:t>
      </w:r>
    </w:p>
    <w:p>
      <w:pPr>
        <w:pStyle w:val="FirstParagraph"/>
      </w:pPr>
      <w:r>
        <w:t xml:space="preserve">Unchanged rules from Edition 2.0, extended to the new modules</w:t>
      </w:r>
    </w:p>
    <w:bookmarkStart w:id="91" w:name="use"/>
    <w:p>
      <w:pPr>
        <w:pStyle w:val="Heading4"/>
      </w:pPr>
      <w:r>
        <w:t xml:space="preserve">Use</w:t>
      </w:r>
    </w:p>
    <w:p>
      <w:pPr>
        <w:pStyle w:val="Compact"/>
        <w:numPr>
          <w:ilvl w:val="0"/>
          <w:numId w:val="1007"/>
        </w:numPr>
      </w:pPr>
      <w:r>
        <w:t xml:space="preserve">"The 2026 budget update reports…" with exact support type and table.</w:t>
      </w:r>
    </w:p>
    <w:p>
      <w:pPr>
        <w:pStyle w:val="Compact"/>
        <w:numPr>
          <w:ilvl w:val="0"/>
          <w:numId w:val="1007"/>
        </w:numPr>
      </w:pPr>
      <w:r>
        <w:t xml:space="preserve">"The City's May 2025 DC monitoring report states…" for §10 figures.</w:t>
      </w:r>
    </w:p>
    <w:p>
      <w:pPr>
        <w:pStyle w:val="Compact"/>
        <w:numPr>
          <w:ilvl w:val="0"/>
          <w:numId w:val="1007"/>
        </w:numPr>
      </w:pPr>
      <w:r>
        <w:t xml:space="preserve">"Of the awards scraped from the City's Bids and Tenders portal…" for §9 — never "of all City procurement."</w:t>
      </w:r>
    </w:p>
    <w:p>
      <w:pPr>
        <w:pStyle w:val="Compact"/>
        <w:numPr>
          <w:ilvl w:val="0"/>
          <w:numId w:val="1007"/>
        </w:numPr>
      </w:pPr>
      <w:r>
        <w:t xml:space="preserve">"Sunshine List rows classified [heuristic] show…" for §12 — never "City records show" for the role-bucket layer.</w:t>
      </w:r>
    </w:p>
    <w:p>
      <w:pPr>
        <w:pStyle w:val="Compact"/>
        <w:numPr>
          <w:ilvl w:val="0"/>
          <w:numId w:val="1007"/>
        </w:numPr>
      </w:pPr>
      <w:r>
        <w:t xml:space="preserve">"The available public record does not provide an easy end-to-end reconciliation" for a documentation gap.</w:t>
      </w:r>
    </w:p>
    <w:bookmarkEnd w:id="91"/>
    <w:bookmarkStart w:id="92" w:name="avoid"/>
    <w:p>
      <w:pPr>
        <w:pStyle w:val="Heading4"/>
      </w:pPr>
      <w:r>
        <w:t xml:space="preserve">Avoid</w:t>
      </w:r>
    </w:p>
    <w:p>
      <w:pPr>
        <w:pStyle w:val="Compact"/>
        <w:numPr>
          <w:ilvl w:val="0"/>
          <w:numId w:val="1008"/>
        </w:numPr>
      </w:pPr>
      <w:r>
        <w:t xml:space="preserve">"Total spending" when the source shows a budget, award or allocation.</w:t>
      </w:r>
    </w:p>
    <w:p>
      <w:pPr>
        <w:pStyle w:val="Compact"/>
        <w:numPr>
          <w:ilvl w:val="0"/>
          <w:numId w:val="1008"/>
        </w:numPr>
      </w:pPr>
      <w:r>
        <w:t xml:space="preserve">"Paid" when the source shows approved, maximum, budgeted or committed amounts.</w:t>
      </w:r>
    </w:p>
    <w:p>
      <w:pPr>
        <w:pStyle w:val="Compact"/>
        <w:numPr>
          <w:ilvl w:val="0"/>
          <w:numId w:val="1008"/>
        </w:numPr>
      </w:pPr>
      <w:r>
        <w:t xml:space="preserve">"Fraud," "corruption," "favouritism," "waste" or "steering" without direct evidence establishing the allegation.</w:t>
      </w:r>
    </w:p>
    <w:p>
      <w:pPr>
        <w:pStyle w:val="Compact"/>
        <w:numPr>
          <w:ilvl w:val="0"/>
          <w:numId w:val="1008"/>
        </w:numPr>
      </w:pPr>
      <w:r>
        <w:t xml:space="preserve">Treating a data-quality flag (§9) as a confirmed irregularity.</w:t>
      </w:r>
    </w:p>
    <w:p>
      <w:pPr>
        <w:pStyle w:val="Compact"/>
        <w:numPr>
          <w:ilvl w:val="0"/>
          <w:numId w:val="1008"/>
        </w:numPr>
      </w:pPr>
      <w:r>
        <w:t xml:space="preserve">Combining property-tax, water and wastewater figures without labelling support type.</w:t>
      </w:r>
    </w:p>
    <w:bookmarkEnd w:id="92"/>
    <w:bookmarkEnd w:id="93"/>
    <w:bookmarkStart w:id="94" w:name="official-source-register"/>
    <w:p>
      <w:pPr>
        <w:pStyle w:val="Heading2"/>
      </w:pPr>
      <w:r>
        <w:t xml:space="preserve">Official source register</w:t>
      </w:r>
    </w:p>
    <w:p>
      <w:pPr>
        <w:pStyle w:val="FirstParagraph"/>
      </w:pPr>
      <w:r>
        <w:t xml:space="preserve">S1–S6 carried from Edition 2.0; S7–S17 added in this edition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ID</w:t>
            </w:r>
          </w:p>
        </w:tc>
        <w:tc>
          <w:tcPr/>
          <w:p>
            <w:pPr>
              <w:pStyle w:val="Compact"/>
            </w:pPr>
            <w:r>
              <w:t xml:space="preserve">Source</w:t>
            </w:r>
          </w:p>
        </w:tc>
        <w:tc>
          <w:tcPr/>
          <w:p>
            <w:pPr>
              <w:pStyle w:val="Compact"/>
            </w:pPr>
            <w:r>
              <w:t xml:space="preserve">Use in this edition</w:t>
            </w:r>
          </w:p>
        </w:tc>
      </w:tr>
      <w:tr>
        <w:tc>
          <w:tcPr/>
          <w:p>
            <w:pPr>
              <w:pStyle w:val="Compact"/>
            </w:pPr>
            <w:r>
              <w:t xml:space="preserve">S1</w:t>
            </w:r>
          </w:p>
        </w:tc>
        <w:tc>
          <w:tcPr/>
          <w:p>
            <w:pPr>
              <w:pStyle w:val="Compact"/>
            </w:pPr>
            <w:r>
              <w:t xml:space="preserve">2026 Annual Budget Update</w:t>
            </w:r>
          </w:p>
        </w:tc>
        <w:tc>
          <w:tcPr/>
          <w:p>
            <w:pPr>
              <w:pStyle w:val="Compact"/>
            </w:pPr>
            <w:r>
              <w:t xml:space="preserve">Current capital-plan totals (§3)</w:t>
            </w:r>
          </w:p>
        </w:tc>
      </w:tr>
      <w:tr>
        <w:tc>
          <w:tcPr/>
          <w:p>
            <w:pPr>
              <w:pStyle w:val="Compact"/>
            </w:pPr>
            <w:r>
              <w:t xml:space="preserve">S2</w:t>
            </w:r>
          </w:p>
        </w:tc>
        <w:tc>
          <w:tcPr/>
          <w:p>
            <w:pPr>
              <w:pStyle w:val="Compact"/>
            </w:pPr>
            <w:r>
              <w:t xml:space="preserve">2025 Annual Development Report</w:t>
            </w:r>
          </w:p>
        </w:tc>
        <w:tc>
          <w:tcPr/>
          <w:p>
            <w:pPr>
              <w:pStyle w:val="Compact"/>
            </w:pPr>
            <w:r>
              <w:t xml:space="preserve">Housing permits, Planning Act timelines (§6, §7)</w:t>
            </w:r>
          </w:p>
        </w:tc>
      </w:tr>
      <w:tr>
        <w:tc>
          <w:tcPr/>
          <w:p>
            <w:pPr>
              <w:pStyle w:val="Compact"/>
            </w:pPr>
            <w:r>
              <w:t xml:space="preserve">S3</w:t>
            </w:r>
          </w:p>
        </w:tc>
        <w:tc>
          <w:tcPr/>
          <w:p>
            <w:pPr>
              <w:pStyle w:val="Compact"/>
            </w:pPr>
            <w:r>
              <w:t xml:space="preserve">Housing Accelerator Fund — 2025 Annual Update</w:t>
            </w:r>
          </w:p>
        </w:tc>
        <w:tc>
          <w:tcPr/>
          <w:p>
            <w:pPr>
              <w:pStyle w:val="Compact"/>
            </w:pPr>
            <w:r>
              <w:t xml:space="preserve">Year-2 permit target/results (§8)</w:t>
            </w:r>
          </w:p>
        </w:tc>
      </w:tr>
      <w:tr>
        <w:tc>
          <w:tcPr/>
          <w:p>
            <w:pPr>
              <w:pStyle w:val="Compact"/>
            </w:pPr>
            <w:r>
              <w:t xml:space="preserve">S4</w:t>
            </w:r>
          </w:p>
        </w:tc>
        <w:tc>
          <w:tcPr/>
          <w:p>
            <w:pPr>
              <w:pStyle w:val="Compact"/>
            </w:pPr>
            <w:r>
              <w:t xml:space="preserve">2023 Corporate Asset Management Plan</w:t>
            </w:r>
          </w:p>
        </w:tc>
        <w:tc>
          <w:tcPr/>
          <w:p>
            <w:pPr>
              <w:pStyle w:val="Compact"/>
            </w:pPr>
            <w:r>
              <w:t xml:space="preserve">Infrastructure gap, 3-cycle trend (§5)</w:t>
            </w:r>
          </w:p>
        </w:tc>
      </w:tr>
      <w:tr>
        <w:tc>
          <w:tcPr/>
          <w:p>
            <w:pPr>
              <w:pStyle w:val="Compact"/>
            </w:pPr>
            <w:r>
              <w:t xml:space="preserve">S5</w:t>
            </w:r>
          </w:p>
        </w:tc>
        <w:tc>
          <w:tcPr/>
          <w:p>
            <w:pPr>
              <w:pStyle w:val="Compact"/>
            </w:pPr>
            <w:r>
              <w:t xml:space="preserve">Procurement and Supply — official overview</w:t>
            </w:r>
          </w:p>
        </w:tc>
        <w:tc>
          <w:tcPr/>
          <w:p>
            <w:pPr>
              <w:pStyle w:val="Compact"/>
            </w:pPr>
            <w:r>
              <w:t xml:space="preserve">Procurement commitments context (§9)</w:t>
            </w:r>
          </w:p>
        </w:tc>
      </w:tr>
      <w:tr>
        <w:tc>
          <w:tcPr/>
          <w:p>
            <w:pPr>
              <w:pStyle w:val="Compact"/>
            </w:pPr>
            <w:r>
              <w:t xml:space="preserve">S6</w:t>
            </w:r>
          </w:p>
        </w:tc>
        <w:tc>
          <w:tcPr/>
          <w:p>
            <w:pPr>
              <w:pStyle w:val="Compact"/>
            </w:pPr>
            <w:r>
              <w:t xml:space="preserve">Bids and Tenders portal</w:t>
            </w:r>
          </w:p>
        </w:tc>
        <w:tc>
          <w:tcPr/>
          <w:p>
            <w:pPr>
              <w:pStyle w:val="Compact"/>
            </w:pPr>
            <w:r>
              <w:t xml:space="preserve">Contract award records, scraped (§9)</w:t>
            </w:r>
          </w:p>
        </w:tc>
      </w:tr>
      <w:tr>
        <w:tc>
          <w:tcPr/>
          <w:p>
            <w:pPr>
              <w:pStyle w:val="Compact"/>
            </w:pPr>
            <w:r>
              <w:t xml:space="preserve">S7</w:t>
            </w:r>
          </w:p>
        </w:tc>
        <w:tc>
          <w:tcPr/>
          <w:p>
            <w:pPr>
              <w:pStyle w:val="Compact"/>
            </w:pPr>
            <w:r>
              <w:t xml:space="preserve">2024 Annual Report on DC Reserve Funds and DC Monitoring (Staff Report, 2025-05-26)</w:t>
            </w:r>
          </w:p>
        </w:tc>
        <w:tc>
          <w:tcPr/>
          <w:p>
            <w:pPr>
              <w:pStyle w:val="Compact"/>
            </w:pPr>
            <w:r>
              <w:t xml:space="preserve">DC revenue shortfall, debt, reserve balances (§10) —</w:t>
            </w:r>
            <w:r>
              <w:t xml:space="preserve"> </w:t>
            </w:r>
            <w:r>
              <w:rPr>
                <w:i/>
                <w:iCs/>
              </w:rPr>
              <w:t xml:space="preserve">new</w:t>
            </w:r>
          </w:p>
        </w:tc>
      </w:tr>
      <w:tr>
        <w:tc>
          <w:tcPr/>
          <w:p>
            <w:pPr>
              <w:pStyle w:val="Compact"/>
            </w:pPr>
            <w:r>
              <w:t xml:space="preserve">S8</w:t>
            </w:r>
          </w:p>
        </w:tc>
        <w:tc>
          <w:tcPr/>
          <w:p>
            <w:pPr>
              <w:pStyle w:val="Compact"/>
            </w:pPr>
            <w:r>
              <w:t xml:space="preserve">Ontario Public Sector Salary Disclosure compendium, 2021–2025</w:t>
            </w:r>
          </w:p>
        </w:tc>
        <w:tc>
          <w:tcPr/>
          <w:p>
            <w:pPr>
              <w:pStyle w:val="Compact"/>
            </w:pPr>
            <w:r>
              <w:t xml:space="preserve">Salary/headcount trends (§12) —</w:t>
            </w:r>
            <w:r>
              <w:t xml:space="preserve"> </w:t>
            </w:r>
            <w:r>
              <w:rPr>
                <w:i/>
                <w:iCs/>
              </w:rPr>
              <w:t xml:space="preserve">new</w:t>
            </w:r>
          </w:p>
        </w:tc>
      </w:tr>
      <w:tr>
        <w:tc>
          <w:tcPr/>
          <w:p>
            <w:pPr>
              <w:pStyle w:val="Compact"/>
            </w:pPr>
            <w:r>
              <w:t xml:space="preserve">S9</w:t>
            </w:r>
          </w:p>
        </w:tc>
        <w:tc>
          <w:tcPr/>
          <w:p>
            <w:pPr>
              <w:pStyle w:val="Compact"/>
            </w:pPr>
            <w:r>
              <w:t xml:space="preserve">City of London Planning and Environment Committee minutes, 2025-02-19</w:t>
            </w:r>
          </w:p>
        </w:tc>
        <w:tc>
          <w:tcPr/>
          <w:p>
            <w:pPr>
              <w:pStyle w:val="Compact"/>
            </w:pPr>
            <w:r>
              <w:t xml:space="preserve">LJM Developments CIP approval (§13) —</w:t>
            </w:r>
            <w:r>
              <w:t xml:space="preserve"> </w:t>
            </w:r>
            <w:r>
              <w:rPr>
                <w:i/>
                <w:iCs/>
              </w:rPr>
              <w:t xml:space="preserve">new</w:t>
            </w:r>
          </w:p>
        </w:tc>
      </w:tr>
      <w:tr>
        <w:tc>
          <w:tcPr/>
          <w:p>
            <w:pPr>
              <w:pStyle w:val="Compact"/>
            </w:pPr>
            <w:r>
              <w:t xml:space="preserve">S10</w:t>
            </w:r>
          </w:p>
        </w:tc>
        <w:tc>
          <w:tcPr/>
          <w:p>
            <w:pPr>
              <w:pStyle w:val="Compact"/>
            </w:pPr>
            <w:r>
              <w:t xml:space="preserve">City of London Council minutes, 2020-10-27</w:t>
            </w:r>
          </w:p>
        </w:tc>
        <w:tc>
          <w:tcPr/>
          <w:p>
            <w:pPr>
              <w:pStyle w:val="Compact"/>
            </w:pPr>
            <w:r>
              <w:t xml:space="preserve">Youth Opportunities Unlimited CIP approval (§13) —</w:t>
            </w:r>
            <w:r>
              <w:t xml:space="preserve"> </w:t>
            </w:r>
            <w:r>
              <w:rPr>
                <w:i/>
                <w:iCs/>
              </w:rPr>
              <w:t xml:space="preserve">new</w:t>
            </w:r>
          </w:p>
        </w:tc>
      </w:tr>
      <w:tr>
        <w:tc>
          <w:tcPr/>
          <w:p>
            <w:pPr>
              <w:pStyle w:val="Compact"/>
            </w:pPr>
            <w:r>
              <w:t xml:space="preserve">S11</w:t>
            </w:r>
          </w:p>
        </w:tc>
        <w:tc>
          <w:tcPr/>
          <w:p>
            <w:pPr>
              <w:pStyle w:val="Compact"/>
            </w:pPr>
            <w:r>
              <w:t xml:space="preserve">2024 Consolidated Financial Statements of The Corporation of the City of London (KPMG LLP, independent auditor)</w:t>
            </w:r>
          </w:p>
        </w:tc>
        <w:tc>
          <w:tcPr/>
          <w:p>
            <w:pPr>
              <w:pStyle w:val="Compact"/>
            </w:pPr>
            <w:r>
              <w:t xml:space="preserve">Operating budget vs. actual, financial condition (§4, §11) —</w:t>
            </w:r>
            <w:r>
              <w:t xml:space="preserve"> </w:t>
            </w:r>
            <w:r>
              <w:rPr>
                <w:i/>
                <w:iCs/>
              </w:rPr>
              <w:t xml:space="preserve">new</w:t>
            </w:r>
          </w:p>
        </w:tc>
      </w:tr>
      <w:tr>
        <w:tc>
          <w:tcPr/>
          <w:p>
            <w:pPr>
              <w:pStyle w:val="Compact"/>
            </w:pPr>
            <w:r>
              <w:t xml:space="preserve">S12</w:t>
            </w:r>
          </w:p>
        </w:tc>
        <w:tc>
          <w:tcPr/>
          <w:p>
            <w:pPr>
              <w:pStyle w:val="Compact"/>
            </w:pPr>
            <w:r>
              <w:t xml:space="preserve">City of London, Procurement of Goods and Services Policy, Revised Oct 1, 2019</w:t>
            </w:r>
          </w:p>
        </w:tc>
        <w:tc>
          <w:tcPr/>
          <w:p>
            <w:pPr>
              <w:pStyle w:val="Compact"/>
            </w:pPr>
            <w:r>
              <w:t xml:space="preserve">Procurement compliance criteria (§9) —</w:t>
            </w:r>
            <w:r>
              <w:t xml:space="preserve"> </w:t>
            </w:r>
            <w:r>
              <w:rPr>
                <w:i/>
                <w:iCs/>
              </w:rPr>
              <w:t xml:space="preserve">new</w:t>
            </w:r>
          </w:p>
        </w:tc>
      </w:tr>
      <w:tr>
        <w:tc>
          <w:tcPr/>
          <w:p>
            <w:pPr>
              <w:pStyle w:val="Compact"/>
            </w:pPr>
            <w:r>
              <w:t xml:space="preserve">S13</w:t>
            </w:r>
          </w:p>
        </w:tc>
        <w:tc>
          <w:tcPr/>
          <w:p>
            <w:pPr>
              <w:pStyle w:val="Compact"/>
            </w:pPr>
            <w:r>
              <w:t xml:space="preserve">City of London, 2024 to 2033 Tax Supported Project Detail Records and Appendices</w:t>
            </w:r>
          </w:p>
        </w:tc>
        <w:tc>
          <w:tcPr/>
          <w:p>
            <w:pPr>
              <w:pStyle w:val="Compact"/>
            </w:pPr>
            <w:r>
              <w:t xml:space="preserve">Named service-improvement projects (§3) —</w:t>
            </w:r>
            <w:r>
              <w:t xml:space="preserve"> </w:t>
            </w:r>
            <w:r>
              <w:rPr>
                <w:i/>
                <w:iCs/>
              </w:rPr>
              <w:t xml:space="preserve">new</w:t>
            </w:r>
          </w:p>
        </w:tc>
      </w:tr>
      <w:tr>
        <w:tc>
          <w:tcPr/>
          <w:p>
            <w:pPr>
              <w:pStyle w:val="Compact"/>
            </w:pPr>
            <w:r>
              <w:t xml:space="preserve">S14</w:t>
            </w:r>
          </w:p>
        </w:tc>
        <w:tc>
          <w:tcPr/>
          <w:p>
            <w:pPr>
              <w:pStyle w:val="Compact"/>
            </w:pPr>
            <w:r>
              <w:t xml:space="preserve">City of London, Community Grants Program 2025 Grassroots/Innovation/Capital Allocations report, Jun 9 2025</w:t>
            </w:r>
          </w:p>
        </w:tc>
        <w:tc>
          <w:tcPr/>
          <w:p>
            <w:pPr>
              <w:pStyle w:val="Compact"/>
            </w:pPr>
            <w:r>
              <w:t xml:space="preserve">Full 2025 grant recipient list (§13) —</w:t>
            </w:r>
            <w:r>
              <w:t xml:space="preserve"> </w:t>
            </w:r>
            <w:r>
              <w:rPr>
                <w:i/>
                <w:iCs/>
              </w:rPr>
              <w:t xml:space="preserve">new</w:t>
            </w:r>
          </w:p>
        </w:tc>
      </w:tr>
      <w:tr>
        <w:tc>
          <w:tcPr/>
          <w:p>
            <w:pPr>
              <w:pStyle w:val="Compact"/>
            </w:pPr>
            <w:r>
              <w:t xml:space="preserve">S15</w:t>
            </w:r>
          </w:p>
        </w:tc>
        <w:tc>
          <w:tcPr/>
          <w:p>
            <w:pPr>
              <w:pStyle w:val="Compact"/>
            </w:pPr>
            <w:r>
              <w:t xml:space="preserve">Susan Stevenson, letter to City of London Audit Committee re: Housing and Homelessness VFM Audit (MNP LLP), Sept 8 2025</w:t>
            </w:r>
          </w:p>
        </w:tc>
        <w:tc>
          <w:tcPr/>
          <w:p>
            <w:pPr>
              <w:pStyle w:val="Compact"/>
            </w:pPr>
            <w:r>
              <w:t xml:space="preserve">Hubs Model cost data (§14) —</w:t>
            </w:r>
            <w:r>
              <w:t xml:space="preserve"> </w:t>
            </w:r>
            <w:r>
              <w:rPr>
                <w:i/>
                <w:iCs/>
              </w:rPr>
              <w:t xml:space="preserve">new</w:t>
            </w:r>
          </w:p>
        </w:tc>
      </w:tr>
      <w:tr>
        <w:tc>
          <w:tcPr/>
          <w:p>
            <w:pPr>
              <w:pStyle w:val="Compact"/>
            </w:pPr>
            <w:r>
              <w:t xml:space="preserve">S16</w:t>
            </w:r>
          </w:p>
        </w:tc>
        <w:tc>
          <w:tcPr/>
          <w:p>
            <w:pPr>
              <w:pStyle w:val="Compact"/>
            </w:pPr>
            <w:r>
              <w:t xml:space="preserve">City of London, 2025 Annual Report on Development Charges Reserve Funds, May 27 2026; CBC News, Global News, City committee reports (Springbank Dam, Wharncliffe/Horton, Operating Budget Contingency Reserve)</w:t>
            </w:r>
          </w:p>
        </w:tc>
        <w:tc>
          <w:tcPr/>
          <w:p>
            <w:pPr>
              <w:pStyle w:val="Compact"/>
            </w:pPr>
            <w:r>
              <w:t xml:space="preserve">Case files (§15) —</w:t>
            </w:r>
            <w:r>
              <w:t xml:space="preserve"> </w:t>
            </w:r>
            <w:r>
              <w:rPr>
                <w:i/>
                <w:iCs/>
              </w:rPr>
              <w:t xml:space="preserve">new</w:t>
            </w:r>
          </w:p>
        </w:tc>
      </w:tr>
      <w:tr>
        <w:tc>
          <w:tcPr/>
          <w:p>
            <w:pPr>
              <w:pStyle w:val="Compact"/>
            </w:pPr>
            <w:r>
              <w:t xml:space="preserve">S17</w:t>
            </w:r>
          </w:p>
        </w:tc>
        <w:tc>
          <w:tcPr/>
          <w:p>
            <w:pPr>
              <w:pStyle w:val="Compact"/>
            </w:pPr>
            <w:r>
              <w:t xml:space="preserve">City of London, 2024–2027 Multi-Year Approved Budget — Capital Plan 2024 to 2033 by Project (Tax Supported/Water/Wastewater)</w:t>
            </w:r>
          </w:p>
        </w:tc>
        <w:tc>
          <w:tcPr/>
          <w:p>
            <w:pPr>
              <w:pStyle w:val="Compact"/>
            </w:pPr>
            <w:r>
              <w:t xml:space="preserve">Recomputed service-improvement rankings (§3) —</w:t>
            </w:r>
            <w:r>
              <w:t xml:space="preserve"> </w:t>
            </w:r>
            <w:r>
              <w:rPr>
                <w:i/>
                <w:iCs/>
              </w:rPr>
              <w:t xml:space="preserve">new</w:t>
            </w:r>
          </w:p>
        </w:tc>
      </w:tr>
      <w:tr>
        <w:tc>
          <w:tcPr/>
          <w:p>
            <w:pPr>
              <w:pStyle w:val="Compact"/>
            </w:pPr>
            <w:r>
              <w:t xml:space="preserve">S18</w:t>
            </w:r>
          </w:p>
        </w:tc>
        <w:tc>
          <w:tcPr/>
          <w:p>
            <w:pPr>
              <w:pStyle w:val="Compact"/>
            </w:pPr>
            <w:r>
              <w:t xml:space="preserve">City of London, 2024–2027 Multi-Year Approved Budget — Operating Budget 2024 to 2027 by Service</w:t>
            </w:r>
          </w:p>
        </w:tc>
        <w:tc>
          <w:tcPr/>
          <w:p>
            <w:pPr>
              <w:pStyle w:val="Compact"/>
            </w:pPr>
            <w:r>
              <w:t xml:space="preserve">Personnel-cost-share (§4) —</w:t>
            </w:r>
            <w:r>
              <w:t xml:space="preserve"> </w:t>
            </w:r>
            <w:r>
              <w:rPr>
                <w:i/>
                <w:iCs/>
              </w:rPr>
              <w:t xml:space="preserve">new</w:t>
            </w:r>
          </w:p>
        </w:tc>
      </w:tr>
      <w:tr>
        <w:tc>
          <w:tcPr/>
          <w:p>
            <w:pPr>
              <w:pStyle w:val="Compact"/>
            </w:pPr>
            <w:r>
              <w:t xml:space="preserve">S19</w:t>
            </w:r>
          </w:p>
        </w:tc>
        <w:tc>
          <w:tcPr/>
          <w:p>
            <w:pPr>
              <w:pStyle w:val="Compact"/>
            </w:pPr>
            <w:r>
              <w:t xml:space="preserve">City of London, 2024 to 2027 Business Plans (92 individual service PDFs)</w:t>
            </w:r>
          </w:p>
        </w:tc>
        <w:tc>
          <w:tcPr/>
          <w:p>
            <w:pPr>
              <w:pStyle w:val="Compact"/>
            </w:pPr>
            <w:r>
              <w:t xml:space="preserve">Total FTE, Sunshine List coverage ratio (§12) —</w:t>
            </w:r>
            <w:r>
              <w:t xml:space="preserve"> </w:t>
            </w:r>
            <w:r>
              <w:rPr>
                <w:i/>
                <w:iCs/>
              </w:rPr>
              <w:t xml:space="preserve">new</w:t>
            </w:r>
          </w:p>
        </w:tc>
      </w:tr>
      <w:tr>
        <w:tc>
          <w:tcPr/>
          <w:p>
            <w:pPr>
              <w:pStyle w:val="Compact"/>
            </w:pPr>
            <w:r>
              <w:t xml:space="preserve">S20</w:t>
            </w:r>
          </w:p>
        </w:tc>
        <w:tc>
          <w:tcPr/>
          <w:p>
            <w:pPr>
              <w:pStyle w:val="Compact"/>
            </w:pPr>
            <w:r>
              <w:t xml:space="preserve">City of London, Community Grants Program page — "Multi-Year Grants (2024–2027)" allocations listing</w:t>
            </w:r>
          </w:p>
        </w:tc>
        <w:tc>
          <w:tcPr/>
          <w:p>
            <w:pPr>
              <w:pStyle w:val="Compact"/>
            </w:pPr>
            <w:r>
              <w:t xml:space="preserve">Full 41-recipient grants list (§13) —</w:t>
            </w:r>
            <w:r>
              <w:t xml:space="preserve"> </w:t>
            </w:r>
            <w:r>
              <w:rPr>
                <w:i/>
                <w:iCs/>
              </w:rPr>
              <w:t xml:space="preserve">new</w:t>
            </w:r>
          </w:p>
        </w:tc>
      </w:tr>
      <w:tr>
        <w:tc>
          <w:tcPr/>
          <w:p>
            <w:pPr>
              <w:pStyle w:val="Compact"/>
            </w:pPr>
            <w:r>
              <w:t xml:space="preserve">S21</w:t>
            </w:r>
          </w:p>
        </w:tc>
        <w:tc>
          <w:tcPr/>
          <w:p>
            <w:pPr>
              <w:pStyle w:val="Compact"/>
            </w:pPr>
            <w:r>
              <w:t xml:space="preserve">City of London, Procurement of Goods and Services Policy — current consolidated text, london.ca/council-policies (retrieved 2026-08-20; text dated Oct 1, 2025)</w:t>
            </w:r>
          </w:p>
        </w:tc>
        <w:tc>
          <w:tcPr/>
          <w:p>
            <w:pPr>
              <w:pStyle w:val="Compact"/>
            </w:pPr>
            <w:r>
              <w:t xml:space="preserve">Current-vs-2019 policy comparison (§9) —</w:t>
            </w:r>
            <w:r>
              <w:t xml:space="preserve"> </w:t>
            </w:r>
            <w:r>
              <w:rPr>
                <w:i/>
                <w:iCs/>
              </w:rPr>
              <w:t xml:space="preserve">new</w:t>
            </w:r>
          </w:p>
        </w:tc>
      </w:tr>
      <w:tr>
        <w:tc>
          <w:tcPr/>
          <w:p>
            <w:pPr>
              <w:pStyle w:val="Compact"/>
            </w:pPr>
            <w:r>
              <w:t xml:space="preserve">S22</w:t>
            </w:r>
          </w:p>
        </w:tc>
        <w:tc>
          <w:tcPr/>
          <w:p>
            <w:pPr>
              <w:pStyle w:val="Compact"/>
            </w:pPr>
            <w:r>
              <w:t xml:space="preserve">Province of Ontario, Ministry of Municipal Affairs and Housing, 2025 Financial Information Return for "London C" (Asmt Code 3936), Schedule 80A — efis.fma.csc.gov.on.ca (filed 2026-07-30, posted 2026-08-07)</w:t>
            </w:r>
          </w:p>
        </w:tc>
        <w:tc>
          <w:tcPr/>
          <w:p>
            <w:pPr>
              <w:pStyle w:val="Compact"/>
            </w:pPr>
            <w:r>
              <w:t xml:space="preserve">Sworn Police/Fire counts, citywide funded-position total (§12) —</w:t>
            </w:r>
            <w:r>
              <w:t xml:space="preserve"> </w:t>
            </w:r>
            <w:r>
              <w:rPr>
                <w:i/>
                <w:iCs/>
              </w:rPr>
              <w:t xml:space="preserve">new</w:t>
            </w:r>
          </w:p>
        </w:tc>
      </w:tr>
      <w:tr>
        <w:tc>
          <w:tcPr/>
          <w:p>
            <w:pPr>
              <w:pStyle w:val="Compact"/>
            </w:pPr>
            <w:r>
              <w:t xml:space="preserve">S23</w:t>
            </w:r>
          </w:p>
        </w:tc>
        <w:tc>
          <w:tcPr/>
          <w:p>
            <w:pPr>
              <w:pStyle w:val="Compact"/>
            </w:pPr>
            <w:r>
              <w:t xml:space="preserve">City of London,</w:t>
            </w:r>
            <w:r>
              <w:t xml:space="preserve"> </w:t>
            </w:r>
            <w:r>
              <w:rPr>
                <w:i/>
                <w:iCs/>
              </w:rPr>
              <w:t xml:space="preserve">2024 Year-End Operating Budget Monitoring Report</w:t>
            </w:r>
            <w:r>
              <w:t xml:space="preserve">, Infrastructure &amp; Corporate Services Committee, April 30, 2025 (pub-london.escribemeetings.com, DocumentId=115714)</w:t>
            </w:r>
          </w:p>
        </w:tc>
        <w:tc>
          <w:tcPr/>
          <w:p>
            <w:pPr>
              <w:pStyle w:val="Compact"/>
            </w:pPr>
            <w:r>
              <w:t xml:space="preserve">Wastewater personnel-vacancy savings figure (§12) —</w:t>
            </w:r>
            <w:r>
              <w:t xml:space="preserve"> </w:t>
            </w:r>
            <w:r>
              <w:rPr>
                <w:i/>
                <w:iCs/>
              </w:rPr>
              <w:t xml:space="preserve">new</w:t>
            </w:r>
          </w:p>
        </w:tc>
      </w:tr>
      <w:tr>
        <w:tc>
          <w:tcPr/>
          <w:p>
            <w:pPr>
              <w:pStyle w:val="Compact"/>
            </w:pPr>
            <w:r>
              <w:t xml:space="preserve">S24</w:t>
            </w:r>
          </w:p>
        </w:tc>
        <w:tc>
          <w:tcPr/>
          <w:p>
            <w:pPr>
              <w:pStyle w:val="Compact"/>
            </w:pPr>
            <w:r>
              <w:t xml:space="preserve">City of London,</w:t>
            </w:r>
            <w:r>
              <w:t xml:space="preserve"> </w:t>
            </w:r>
            <w:r>
              <w:rPr>
                <w:i/>
                <w:iCs/>
              </w:rPr>
              <w:t xml:space="preserve">2025 Year-End Capital Budget Monitoring Report</w:t>
            </w:r>
            <w:r>
              <w:t xml:space="preserve">, Infrastructure &amp; Corporate Services Committee, April 20, 2026 (pub-london.escribemeetings.com, DocumentId=123216)</w:t>
            </w:r>
          </w:p>
        </w:tc>
        <w:tc>
          <w:tcPr/>
          <w:p>
            <w:pPr>
              <w:pStyle w:val="Compact"/>
            </w:pPr>
            <w:r>
              <w:t xml:space="preserve">Mud Creek/Springbank amendments, Wharncliffe naming trap, citywide capital health, change-order rate (§15) —</w:t>
            </w:r>
            <w:r>
              <w:t xml:space="preserve"> </w:t>
            </w:r>
            <w:r>
              <w:rPr>
                <w:i/>
                <w:iCs/>
              </w:rPr>
              <w:t xml:space="preserve">new</w:t>
            </w:r>
          </w:p>
        </w:tc>
      </w:tr>
      <w:tr>
        <w:tc>
          <w:tcPr/>
          <w:p>
            <w:pPr>
              <w:pStyle w:val="Compact"/>
            </w:pPr>
            <w:r>
              <w:t xml:space="preserve">S25</w:t>
            </w:r>
          </w:p>
        </w:tc>
        <w:tc>
          <w:tcPr/>
          <w:p>
            <w:pPr>
              <w:pStyle w:val="Compact"/>
            </w:pPr>
            <w:r>
              <w:t xml:space="preserve">MNP LLP,</w:t>
            </w:r>
            <w:r>
              <w:t xml:space="preserve"> </w:t>
            </w:r>
            <w:r>
              <w:rPr>
                <w:i/>
                <w:iCs/>
              </w:rPr>
              <w:t xml:space="preserve">City of London Internal Audit — Housing and Homelessness Value for Money Audit, Final Report</w:t>
            </w:r>
            <w:r>
              <w:t xml:space="preserve">, August 28, 2025 (pub-london.escribemeetings.com, DocumentId=118757)</w:t>
            </w:r>
          </w:p>
        </w:tc>
        <w:tc>
          <w:tcPr/>
          <w:p>
            <w:pPr>
              <w:pStyle w:val="Compact"/>
            </w:pPr>
            <w:r>
              <w:t xml:space="preserve">Hub-implementation status, rated observations, management responses (§14) —</w:t>
            </w:r>
            <w:r>
              <w:t xml:space="preserve"> </w:t>
            </w:r>
            <w:r>
              <w:rPr>
                <w:i/>
                <w:iCs/>
              </w:rPr>
              <w:t xml:space="preserve">new</w:t>
            </w:r>
          </w:p>
        </w:tc>
      </w:tr>
      <w:tr>
        <w:tc>
          <w:tcPr/>
          <w:p>
            <w:pPr>
              <w:pStyle w:val="Compact"/>
            </w:pPr>
            <w:r>
              <w:t xml:space="preserve">S26</w:t>
            </w:r>
          </w:p>
        </w:tc>
        <w:tc>
          <w:tcPr/>
          <w:p>
            <w:pPr>
              <w:pStyle w:val="Compact"/>
            </w:pPr>
            <w:r>
              <w:t xml:space="preserve">City of London, Feb 9, 2026 memo re: Mayoral Direction 2026-001 amendments (DocumentId=121775); CBC News, "London mayor confident reworking homeowner incentive program..." Mar 26, 2026; CTV News London, "Mayor abandons homebuyer incentive...," Mar 25, 2026; City of London newsroom, "City approves expanded incentives to boost housing supply before federal deadline," Apr 29, 2026</w:t>
            </w:r>
          </w:p>
        </w:tc>
        <w:tc>
          <w:tcPr/>
          <w:p>
            <w:pPr>
              <w:pStyle w:val="Compact"/>
            </w:pPr>
            <w:r>
              <w:t xml:space="preserve">Correction: Home Ownership Incentive Program abandoned, replaced by ARU-grant/fee-waiver pivot (§8) —</w:t>
            </w:r>
            <w:r>
              <w:t xml:space="preserve"> </w:t>
            </w:r>
            <w:r>
              <w:rPr>
                <w:i/>
                <w:iCs/>
              </w:rPr>
              <w:t xml:space="preserve">new</w:t>
            </w:r>
          </w:p>
        </w:tc>
      </w:tr>
      <w:tr>
        <w:tc>
          <w:tcPr/>
          <w:p>
            <w:pPr>
              <w:pStyle w:val="Compact"/>
            </w:pPr>
            <w:r>
              <w:t xml:space="preserve">S27</w:t>
            </w:r>
          </w:p>
        </w:tc>
        <w:tc>
          <w:tcPr/>
          <w:p>
            <w:pPr>
              <w:pStyle w:val="Compact"/>
            </w:pPr>
            <w:r>
              <w:t xml:space="preserve">City of London, "Homeownership Down Payment Assistance Program" page, london.ca (retrieved 2026-08-20)</w:t>
            </w:r>
          </w:p>
        </w:tc>
        <w:tc>
          <w:tcPr/>
          <w:p>
            <w:pPr>
              <w:pStyle w:val="Compact"/>
            </w:pPr>
            <w:r>
              <w:t xml:space="preserve">Third home-ownership naming-trap program, confirmed unrelated (§8) —</w:t>
            </w:r>
            <w:r>
              <w:t xml:space="preserve"> </w:t>
            </w:r>
            <w:r>
              <w:rPr>
                <w:i/>
                <w:iCs/>
              </w:rPr>
              <w:t xml:space="preserve">new</w:t>
            </w:r>
          </w:p>
        </w:tc>
      </w:tr>
      <w:tr>
        <w:tc>
          <w:tcPr/>
          <w:p>
            <w:pPr>
              <w:pStyle w:val="Compact"/>
            </w:pPr>
            <w:r>
              <w:t xml:space="preserve">S28</w:t>
            </w:r>
          </w:p>
        </w:tc>
        <w:tc>
          <w:tcPr/>
          <w:p>
            <w:pPr>
              <w:pStyle w:val="Compact"/>
            </w:pPr>
            <w:r>
              <w:t xml:space="preserve">City of London, "Community Improvement Plan Incentive Programs" page, london.ca/business-development/community-improvement-incentives (retrieved 2026-08-20)</w:t>
            </w:r>
          </w:p>
        </w:tc>
        <w:tc>
          <w:tcPr/>
          <w:p>
            <w:pPr>
              <w:pStyle w:val="Compact"/>
            </w:pPr>
            <w:r>
              <w:t xml:space="preserve">Full 32-program CIP toolkit inventory (§13) —</w:t>
            </w:r>
            <w:r>
              <w:t xml:space="preserve"> </w:t>
            </w:r>
            <w:r>
              <w:rPr>
                <w:i/>
                <w:iCs/>
              </w:rPr>
              <w:t xml:space="preserve">new</w:t>
            </w:r>
          </w:p>
        </w:tc>
      </w:tr>
      <w:tr>
        <w:tc>
          <w:tcPr/>
          <w:p>
            <w:pPr>
              <w:pStyle w:val="Compact"/>
            </w:pPr>
            <w:r>
              <w:t xml:space="preserve">S29</w:t>
            </w:r>
          </w:p>
        </w:tc>
        <w:tc>
          <w:tcPr/>
          <w:p>
            <w:pPr>
              <w:pStyle w:val="Compact"/>
            </w:pPr>
            <w:r>
              <w:t xml:space="preserve">City of London,</w:t>
            </w:r>
            <w:r>
              <w:t xml:space="preserve"> </w:t>
            </w:r>
            <w:r>
              <w:rPr>
                <w:i/>
                <w:iCs/>
              </w:rPr>
              <w:t xml:space="preserve">London Community Grants Program Metrics Tool</w:t>
            </w:r>
            <w:r>
              <w:t xml:space="preserve">, April 29, 2019</w:t>
            </w:r>
          </w:p>
        </w:tc>
        <w:tc>
          <w:tcPr/>
          <w:p>
            <w:pPr>
              <w:pStyle w:val="Compact"/>
            </w:pPr>
            <w:r>
              <w:t xml:space="preserve">Grants self-report metric methodology, explains outcomes-ledger gap (§13) —</w:t>
            </w:r>
            <w:r>
              <w:t xml:space="preserve"> </w:t>
            </w:r>
            <w:r>
              <w:rPr>
                <w:i/>
                <w:iCs/>
              </w:rPr>
              <w:t xml:space="preserve">new</w:t>
            </w:r>
          </w:p>
        </w:tc>
      </w:tr>
      <w:tr>
        <w:tc>
          <w:tcPr/>
          <w:p>
            <w:pPr>
              <w:pStyle w:val="Compact"/>
            </w:pPr>
            <w:r>
              <w:t xml:space="preserve">S30</w:t>
            </w:r>
          </w:p>
        </w:tc>
        <w:tc>
          <w:tcPr/>
          <w:p>
            <w:pPr>
              <w:pStyle w:val="Compact"/>
            </w:pPr>
            <w:r>
              <w:t xml:space="preserve">Province of Ontario, Ministry of Municipal Affairs and Housing, 2025 Financial Information Return for "London C," Schedules 70, 72B and 74C — efis.fma.csc.gov.on.ca</w:t>
            </w:r>
          </w:p>
        </w:tc>
        <w:tc>
          <w:tcPr/>
          <w:p>
            <w:pPr>
              <w:pStyle w:val="Compact"/>
            </w:pPr>
            <w:r>
              <w:t xml:space="preserve">WSIB liability, pending-litigation contingent liability, tax-uncollectable allowance/write-offs (§10) —</w:t>
            </w:r>
            <w:r>
              <w:t xml:space="preserve"> </w:t>
            </w:r>
            <w:r>
              <w:rPr>
                <w:i/>
                <w:iCs/>
              </w:rPr>
              <w:t xml:space="preserve">new</w:t>
            </w:r>
          </w:p>
        </w:tc>
      </w:tr>
      <w:tr>
        <w:tc>
          <w:tcPr/>
          <w:p>
            <w:pPr>
              <w:pStyle w:val="Compact"/>
            </w:pPr>
            <w:r>
              <w:t xml:space="preserve">S31</w:t>
            </w:r>
          </w:p>
        </w:tc>
        <w:tc>
          <w:tcPr/>
          <w:p>
            <w:pPr>
              <w:pStyle w:val="Compact"/>
            </w:pPr>
            <w:r>
              <w:t xml:space="preserve">MNP LLP, "Summary Update from Internal Audit" and "Internal Audit Follow Up Activities Dashboard," City of London Audit Committee, Sept 10, 2025 and Feb 25, 2026 (DocumentIds 118755, 118756, 122077, 122078)</w:t>
            </w:r>
          </w:p>
        </w:tc>
        <w:tc>
          <w:tcPr/>
          <w:p>
            <w:pPr>
              <w:pStyle w:val="Compact"/>
            </w:pPr>
            <w:r>
              <w:t xml:space="preserve">Full Internal Audit Plan crosswalk, Vendor Risk Mgmt/Community Grants findings (§9, §13) —</w:t>
            </w:r>
            <w:r>
              <w:t xml:space="preserve"> </w:t>
            </w:r>
            <w:r>
              <w:rPr>
                <w:i/>
                <w:iCs/>
              </w:rPr>
              <w:t xml:space="preserve">new</w:t>
            </w:r>
          </w:p>
        </w:tc>
      </w:tr>
      <w:tr>
        <w:tc>
          <w:tcPr/>
          <w:p>
            <w:pPr>
              <w:pStyle w:val="Compact"/>
            </w:pPr>
            <w:r>
              <w:t xml:space="preserve">S32</w:t>
            </w:r>
          </w:p>
        </w:tc>
        <w:tc>
          <w:tcPr/>
          <w:p>
            <w:pPr>
              <w:pStyle w:val="Compact"/>
            </w:pPr>
            <w:r>
              <w:t xml:space="preserve">MNP LLP,</w:t>
            </w:r>
            <w:r>
              <w:t xml:space="preserve"> </w:t>
            </w:r>
            <w:r>
              <w:rPr>
                <w:i/>
                <w:iCs/>
              </w:rPr>
              <w:t xml:space="preserve">City of London Internal Audit — Community Improvement Plans Audit, Final Report</w:t>
            </w:r>
            <w:r>
              <w:t xml:space="preserve">, February 12, 2026 (pub-london.escribemeetings.com, DocumentId=122079)</w:t>
            </w:r>
          </w:p>
        </w:tc>
        <w:tc>
          <w:tcPr/>
          <w:p>
            <w:pPr>
              <w:pStyle w:val="Compact"/>
            </w:pPr>
            <w:r>
              <w:t xml:space="preserve">Downtown/Industrial Lands CIP audit findings (§13) —</w:t>
            </w:r>
            <w:r>
              <w:t xml:space="preserve"> </w:t>
            </w:r>
            <w:r>
              <w:rPr>
                <w:i/>
                <w:iCs/>
              </w:rPr>
              <w:t xml:space="preserve">new</w:t>
            </w:r>
          </w:p>
        </w:tc>
      </w:tr>
      <w:tr>
        <w:tc>
          <w:tcPr/>
          <w:p>
            <w:pPr>
              <w:pStyle w:val="Compact"/>
            </w:pPr>
            <w:r>
              <w:t xml:space="preserve">S33</w:t>
            </w:r>
          </w:p>
        </w:tc>
        <w:tc>
          <w:tcPr/>
          <w:p>
            <w:pPr>
              <w:pStyle w:val="Compact"/>
            </w:pPr>
            <w:r>
              <w:t xml:space="preserve">MNP LLP, "Housing and Homelessness Value-for-Money (VFM) Audit Supplemental Report," February 25, 2026, per Council resolution of December 17, 2025 (pub-london.escribemeetings.com, DocumentId=122080)</w:t>
            </w:r>
          </w:p>
        </w:tc>
        <w:tc>
          <w:tcPr/>
          <w:p>
            <w:pPr>
              <w:pStyle w:val="Compact"/>
            </w:pPr>
            <w:r>
              <w:t xml:space="preserve">Per-bed-day costs, actual-vs-budget expenditures, outcome cost-benefit case (§14) —</w:t>
            </w:r>
            <w:r>
              <w:t xml:space="preserve"> </w:t>
            </w:r>
            <w:r>
              <w:rPr>
                <w:i/>
                <w:iCs/>
              </w:rPr>
              <w:t xml:space="preserve">new</w:t>
            </w:r>
          </w:p>
        </w:tc>
      </w:tr>
    </w:tbl>
    <w:bookmarkEnd w:id="94"/>
    <w:bookmarkStart w:id="96" w:name="procurement-pipeline-methodology"/>
    <w:p>
      <w:pPr>
        <w:pStyle w:val="Heading2"/>
      </w:pPr>
      <w:r>
        <w:t xml:space="preserve">Procurement pipeline methodology</w:t>
      </w:r>
    </w:p>
    <w:p>
      <w:pPr>
        <w:pStyle w:val="FirstParagraph"/>
      </w:pPr>
      <w:r>
        <w:t xml:space="preserve">New appendix — how §9's numbers were actually produced</w:t>
      </w:r>
    </w:p>
    <w:p>
      <w:pPr>
        <w:pStyle w:val="BodyText"/>
      </w:pPr>
      <w:r>
        <w:t xml:space="preserve">The Bids and Tenders portal was scraped for its Contract Awards / Annual Statistics export across all posted years. Raw HTML was parsed into candidate award records, each tagged with a parser-confidence tier; records below medium confidence were excluded before any aggregation.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Records</w:t>
            </w:r>
          </w:p>
        </w:tc>
      </w:tr>
      <w:tr>
        <w:tc>
          <w:tcPr/>
          <w:p>
            <w:pPr>
              <w:pStyle w:val="Compact"/>
            </w:pPr>
            <w:r>
              <w:t xml:space="preserve">All parsed award candidates</w:t>
            </w:r>
          </w:p>
        </w:tc>
        <w:tc>
          <w:tcPr/>
          <w:p>
            <w:pPr>
              <w:pStyle w:val="Compact"/>
            </w:pPr>
            <w:r>
              <w:t xml:space="preserve">2,016</w:t>
            </w:r>
          </w:p>
        </w:tc>
      </w:tr>
      <w:tr>
        <w:tc>
          <w:tcPr/>
          <w:p>
            <w:pPr>
              <w:pStyle w:val="Compact"/>
            </w:pPr>
            <w:r>
              <w:t xml:space="preserve">Parser rejects (below usable confidence)</w:t>
            </w:r>
          </w:p>
        </w:tc>
        <w:tc>
          <w:tcPr/>
          <w:p>
            <w:pPr>
              <w:pStyle w:val="Compact"/>
            </w:pPr>
            <w:r>
              <w:t xml:space="preserve">38</w:t>
            </w:r>
          </w:p>
        </w:tc>
      </w:tr>
      <w:tr>
        <w:tc>
          <w:tcPr/>
          <w:p>
            <w:pPr>
              <w:pStyle w:val="Compact"/>
            </w:pPr>
            <w:r>
              <w:t xml:space="preserve">Clean award records used in §9</w:t>
            </w:r>
          </w:p>
        </w:tc>
        <w:tc>
          <w:tcPr/>
          <w:p>
            <w:pPr>
              <w:pStyle w:val="Compact"/>
            </w:pPr>
            <w:r>
              <w:t xml:space="preserve">1,978</w:t>
            </w:r>
          </w:p>
        </w:tc>
      </w:tr>
      <w:tr>
        <w:tc>
          <w:tcPr/>
          <w:p>
            <w:pPr>
              <w:pStyle w:val="Compact"/>
            </w:pPr>
            <w:r>
              <w:t xml:space="preserve">— high parser confidence</w:t>
            </w:r>
          </w:p>
        </w:tc>
        <w:tc>
          <w:tcPr/>
          <w:p>
            <w:pPr>
              <w:pStyle w:val="Compact"/>
            </w:pPr>
            <w:r>
              <w:t xml:space="preserve">1,073</w:t>
            </w:r>
          </w:p>
        </w:tc>
      </w:tr>
      <w:tr>
        <w:tc>
          <w:tcPr/>
          <w:p>
            <w:pPr>
              <w:pStyle w:val="Compact"/>
            </w:pPr>
            <w:r>
              <w:t xml:space="preserve">— medium parser confidence</w:t>
            </w:r>
          </w:p>
        </w:tc>
        <w:tc>
          <w:tcPr/>
          <w:p>
            <w:pPr>
              <w:pStyle w:val="Compact"/>
            </w:pPr>
            <w:r>
              <w:t xml:space="preserve">905</w:t>
            </w:r>
          </w:p>
        </w:tc>
      </w:tr>
      <w:tr>
        <w:tc>
          <w:tcPr/>
          <w:p>
            <w:pPr>
              <w:pStyle w:val="Compact"/>
            </w:pPr>
            <w:r>
              <w:t xml:space="preserve">Flagged for manual verification (unresolved)</w:t>
            </w:r>
          </w:p>
        </w:tc>
        <w:tc>
          <w:tcPr/>
          <w:p>
            <w:pPr>
              <w:pStyle w:val="Compact"/>
            </w:pPr>
            <w:r>
              <w:t xml:space="preserve">1,524</w:t>
            </w:r>
          </w:p>
        </w:tc>
      </w:tr>
    </w:tbl>
    <w:p>
      <w:pPr>
        <w:pStyle w:val="BodyText"/>
      </w:pPr>
      <w:r>
        <w:rPr>
          <w:b/>
          <w:bCs/>
        </w:rPr>
        <w:t xml:space="preserve">Automated screening flags, by type:</w:t>
      </w:r>
      <w:r>
        <w:t xml:space="preserve"> </w:t>
      </w:r>
      <w:r>
        <w:t xml:space="preserve">Automated screening flags, by type UNKNOWN_CONTRACT_VALUE 937 · MULTI_AWARD_RECORD 677 · CONSULTING_UNKNOWN_VALUE 518 · PREQUALIFICATION_OR_VENDOR_OF_RECORD 496 · HIGH_VALUE_KNOWN_AWARD 165 · BIDS_NOT_DISCLOSED 56 · PARSER_ARTIFACT 38 · LOW_PARSER_CONFIDENCE 38. These are pipeline labels for what to check by hand, not findings — the large UNKNOWN_CONTRACT_VALUE count is the same disclosure-rate pattern reported as a stat tile in §9, not a separate problem.</w:t>
      </w:r>
    </w:p>
    <w:bookmarkStart w:id="95" w:name="Xb9d301feb4d09bfc7cb9fd9eb65e44b68a19450"/>
    <w:p>
      <w:pPr>
        <w:pStyle w:val="Heading3"/>
      </w:pPr>
      <w:r>
        <w:t xml:space="preserve">The reproducibility repository — now packaged, found this pass</w:t>
      </w:r>
    </w:p>
    <w:p>
      <w:pPr>
        <w:pStyle w:val="FirstParagraph"/>
      </w:pPr>
      <w:r>
        <w:t xml:space="preserve">Everything above is now runnable, not just described. A clean repository (</w:t>
      </w:r>
      <w:r>
        <w:rPr>
          <w:rStyle w:val="VerbatimChar"/>
        </w:rPr>
        <w:t xml:space="preserve">london-transparency-ledger/</w:t>
      </w:r>
      <w:r>
        <w:t xml:space="preserve">) packages the raw scrape, the parser, every derived dataset, and a single</w:t>
      </w:r>
      <w:r>
        <w:t xml:space="preserve"> </w:t>
      </w:r>
      <w:r>
        <w:rPr>
          <w:rStyle w:val="VerbatimChar"/>
        </w:rPr>
        <w:t xml:space="preserve">reproduce.py</w:t>
      </w:r>
      <w:r>
        <w:t xml:space="preserve"> </w:t>
      </w:r>
      <w:r>
        <w:t xml:space="preserve">entry point that recomputes all eight headline procurement statistics from raw data and prints a live PASS/FAIL check against the published figures —</w:t>
      </w:r>
      <w:r>
        <w:t xml:space="preserve"> </w:t>
      </w:r>
      <w:r>
        <w:rPr>
          <w:rStyle w:val="VerbatimChar"/>
        </w:rPr>
        <w:t xml:space="preserve">python3 reproduce.py</w:t>
      </w:r>
      <w:r>
        <w:t xml:space="preserve">, no configuration required. It also includes</w:t>
      </w:r>
      <w:r>
        <w:t xml:space="preserve"> </w:t>
      </w:r>
      <w:r>
        <w:rPr>
          <w:rStyle w:val="VerbatimChar"/>
        </w:rPr>
        <w:t xml:space="preserve">output/audit_crosswalk.csv</w:t>
      </w:r>
      <w:r>
        <w:t xml:space="preserve"> </w:t>
      </w:r>
      <w:r>
        <w:t xml:space="preserve">(the full Internal Audit Plan from §19),</w:t>
      </w:r>
      <w:r>
        <w:t xml:space="preserve"> </w:t>
      </w:r>
      <w:r>
        <w:rPr>
          <w:rStyle w:val="VerbatimChar"/>
        </w:rPr>
        <w:t xml:space="preserve">output/project_dossiers.csv</w:t>
      </w:r>
      <w:r>
        <w:t xml:space="preserve"> </w:t>
      </w:r>
      <w:r>
        <w:t xml:space="preserve">(case-file field status from §15),</w:t>
      </w:r>
      <w:r>
        <w:t xml:space="preserve"> </w:t>
      </w:r>
      <w:r>
        <w:rPr>
          <w:rStyle w:val="VerbatimChar"/>
        </w:rPr>
        <w:t xml:space="preserve">output/claim_register.csv</w:t>
      </w:r>
      <w:r>
        <w:t xml:space="preserve"> </w:t>
      </w:r>
      <w:r>
        <w:t xml:space="preserve">(this edition's 66-claim Claim Verification Register), and</w:t>
      </w:r>
      <w:r>
        <w:t xml:space="preserve"> </w:t>
      </w:r>
      <w:r>
        <w:rPr>
          <w:rStyle w:val="VerbatimChar"/>
        </w:rPr>
        <w:t xml:space="preserve">docs/corrections.md</w:t>
      </w:r>
      <w:r>
        <w:t xml:space="preserve"> </w:t>
      </w:r>
      <w:r>
        <w:t xml:space="preserve">— a standing log of every factual correction made during this project, including the two "audit doesn't exist" errors fixed this pass.</w:t>
      </w:r>
    </w:p>
    <w:p>
      <w:pPr>
        <w:pStyle w:val="BodyText"/>
      </w:pPr>
      <w:r>
        <w:rPr>
          <w:b/>
          <w:bCs/>
        </w:rPr>
        <w:t xml:space="preserve">SOURCE LOCK:</w:t>
      </w:r>
      <w:r>
        <w:t xml:space="preserve"> </w:t>
      </w:r>
      <w:r>
        <w:t xml:space="preserve">SOURCE LOCK This review's own repository, london-transparency-ledger/ — README.md, reproduce.py, and the full data/src/output/docs tree, built and verified 2026-08-20.</w:t>
      </w:r>
    </w:p>
    <w:bookmarkEnd w:id="95"/>
    <w:bookmarkEnd w:id="96"/>
    <w:bookmarkStart w:id="97" w:name="verification-declaration"/>
    <w:p>
      <w:pPr>
        <w:pStyle w:val="Heading2"/>
      </w:pPr>
      <w:r>
        <w:t xml:space="preserve">Verification declaration</w:t>
      </w:r>
    </w:p>
    <w:p>
      <w:pPr>
        <w:pStyle w:val="FirstParagraph"/>
      </w:pPr>
      <w:r>
        <w:t xml:space="preserve">This edition does not certify the City's records, audit the City's books, or provide professional assurance. It verifies that retained statements are traceable to the identified official sources and that displayed arithmetic is reproducible — including, in this edition, arithmetic computed directly from raw scraped and disclosed data rather than only from documents that print the total already.</w:t>
      </w:r>
    </w:p>
    <w:p>
      <w:pPr>
        <w:pStyle w:val="BodyText"/>
      </w:pPr>
      <w:r>
        <w:rPr>
          <w:b/>
          <w:bCs/>
        </w:rPr>
        <w:t xml:space="preserve">Edition 2.0's outreach precondition — now satisfied:</w:t>
      </w:r>
      <w:r>
        <w:t xml:space="preserve"> </w:t>
      </w:r>
      <w:r>
        <w:t xml:space="preserve">Edition 2.0's outreach precondition — now satisfied Two companion pieces referenced by Edition 2.0's publication rule are now complete as separate documents: a Stevenson Briefing Note (a factual outreach-preparation memo, grounded entirely in her September 8, 2025 letter and the subsequent Council-directed supplemental audit report — no assumptions about her position beyond what's already public) and a whole-edition Claim Verification Register (66 headline claims logged across all 22 sections of this edition, each with its exact value, primary source, and a status classification — VERIFIED, DERIVED, LIMITED, CORRECTED, REQUESTED or HEURISTIC). Both were compiled 2026-08-20 and are available as standalone documents alongside this report and its Word-format edition. The register does not re-log every individual figure (e.g., the 41-organization grant list and the 33-row source register are each logged as one disposition, not repeated line by line) — it logs whether each headline claim can be independently checked, and if not yet, exactly why not.</w:t>
      </w:r>
    </w:p>
    <w:p>
      <w:pPr>
        <w:pStyle w:val="BodyText"/>
      </w:pPr>
      <w:r>
        <w:rPr>
          <w:b/>
          <w:bCs/>
        </w:rPr>
        <w:t xml:space="preserve">Publication rule:</w:t>
      </w:r>
      <w:r>
        <w:t xml:space="preserve"> </w:t>
      </w:r>
      <w:r>
        <w:t xml:space="preserve">use this Verified Edition 3.0 for outreach. Do not circulate Edition 1.0 or any pre-2026-07-26 draft as a fact-checked final report.</w:t>
      </w:r>
    </w:p>
    <w:bookmarkEnd w:id="97"/>
    <w:p>
      <w:pPr>
        <w:pStyle w:val="BodyText"/>
      </w:pPr>
      <w:r>
        <w:t xml:space="preserve">City of London Public-Records Ledger — Verified Edition 3.0</w:t>
      </w:r>
      <w:r>
        <w:t xml:space="preserve"> </w:t>
      </w:r>
      <w:r>
        <w:t xml:space="preserve">Evidence lock 2026-08-20 · Prepared by Raj Gandhi</w:t>
      </w:r>
    </w:p>
    <w:bookmarkStart w:id="98" w:name="chart-tooltip"/>
    <w:bookmarkEnd w:id="98"/>
    <w:bookmarkStart w:id="99" w:name="appendix-a"/>
    <w:p>
      <w:pPr>
        <w:pStyle w:val="Heading1"/>
      </w:pPr>
      <w:r>
        <w:t xml:space="preserve">Appendix A</w:t>
      </w:r>
    </w:p>
    <w:bookmarkEnd w:id="99"/>
    <w:bookmarkStart w:id="117" w:name="claim-verification-register"/>
    <w:p>
      <w:pPr>
        <w:pStyle w:val="Heading1"/>
      </w:pPr>
      <w:r>
        <w:t xml:space="preserve">Claim Verification Register</w:t>
      </w:r>
    </w:p>
    <w:p>
      <w:pPr>
        <w:pStyle w:val="FirstParagraph"/>
      </w:pPr>
      <w:r>
        <w:rPr>
          <w:i/>
          <w:iCs/>
        </w:rPr>
        <w:t xml:space="preserve">City of London Public-Records Ledger — Verified Edition 3.0</w:t>
      </w:r>
      <w:r>
        <w:br/>
      </w:r>
      <w:r>
        <w:t xml:space="preserve">Compiled 2026-08-20. This is the report-wide companion document referenced by Edition 2.0's original publication rule ("a Claim Verification Register logging the disposition of every claim") and left outstanding until this pass.</w:t>
      </w:r>
    </w:p>
    <w:bookmarkStart w:id="100" w:name="how-to-read-this-register"/>
    <w:p>
      <w:pPr>
        <w:pStyle w:val="Heading2"/>
      </w:pPr>
      <w:r>
        <w:t xml:space="preserve">How to read this register</w:t>
      </w:r>
    </w:p>
    <w:p>
      <w:pPr>
        <w:pStyle w:val="FirstParagraph"/>
      </w:pPr>
      <w:r>
        <w:t xml:space="preserve">Each row is one headline claim from the live report -- a figure that appears as a stat-tile, a table row, or a named finding -- logged with its exact value, its primary source, and a status classification. This is not a transcription of every number in the report (some sections, like the 41-organization Multi-Year Grants list or the 33-row Source Register, are themselves already full disclosures and are logged here as one row rather than repeated line by line). It is a disposition log: for every claim, can a reader independently check it, and if not yet, why not.</w:t>
      </w:r>
    </w:p>
    <w:bookmarkEnd w:id="100"/>
    <w:bookmarkStart w:id="101" w:name="status-legend"/>
    <w:p>
      <w:pPr>
        <w:pStyle w:val="Heading2"/>
      </w:pPr>
      <w:r>
        <w:t xml:space="preserve">Status legend</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Status</w:t>
            </w:r>
          </w:p>
        </w:tc>
        <w:tc>
          <w:tcPr/>
          <w:p>
            <w:pPr>
              <w:pStyle w:val="Compact"/>
              <w:jc w:val="left"/>
            </w:pPr>
            <w:r>
              <w:t xml:space="preserve">Meaning</w:t>
            </w:r>
          </w:p>
        </w:tc>
      </w:tr>
      <w:tr>
        <w:tc>
          <w:tcPr/>
          <w:p>
            <w:pPr>
              <w:pStyle w:val="Compact"/>
            </w:pPr>
            <w:r>
              <w:rPr>
                <w:b/>
                <w:bCs/>
              </w:rPr>
              <w:t xml:space="preserve">VERIFIED</w:t>
            </w:r>
          </w:p>
        </w:tc>
        <w:tc>
          <w:tcPr/>
          <w:p>
            <w:pPr>
              <w:pStyle w:val="Compact"/>
            </w:pPr>
            <w:r>
              <w:t xml:space="preserve">Independently confirmed against a named primary source; no discrepancy found.</w:t>
            </w:r>
          </w:p>
        </w:tc>
      </w:tr>
      <w:tr>
        <w:tc>
          <w:tcPr/>
          <w:p>
            <w:pPr>
              <w:pStyle w:val="Compact"/>
            </w:pPr>
            <w:r>
              <w:rPr>
                <w:b/>
                <w:bCs/>
              </w:rPr>
              <w:t xml:space="preserve">DERIVED</w:t>
            </w:r>
          </w:p>
        </w:tc>
        <w:tc>
          <w:tcPr/>
          <w:p>
            <w:pPr>
              <w:pStyle w:val="Compact"/>
            </w:pPr>
            <w:r>
              <w:t xml:space="preserve">Computed or aggregated by this review from primary-source raw data -- not a figure the City published as such.</w:t>
            </w:r>
          </w:p>
        </w:tc>
      </w:tr>
      <w:tr>
        <w:tc>
          <w:tcPr/>
          <w:p>
            <w:pPr>
              <w:pStyle w:val="Compact"/>
            </w:pPr>
            <w:r>
              <w:rPr>
                <w:b/>
                <w:bCs/>
              </w:rPr>
              <w:t xml:space="preserve">LIMITED</w:t>
            </w:r>
          </w:p>
        </w:tc>
        <w:tc>
          <w:tcPr/>
          <w:p>
            <w:pPr>
              <w:pStyle w:val="Compact"/>
            </w:pPr>
            <w:r>
              <w:t xml:space="preserve">Real, sourced, but small-sample or otherwise volatile; published with an explicit caveat.</w:t>
            </w:r>
          </w:p>
        </w:tc>
      </w:tr>
      <w:tr>
        <w:tc>
          <w:tcPr/>
          <w:p>
            <w:pPr>
              <w:pStyle w:val="Compact"/>
            </w:pPr>
            <w:r>
              <w:rPr>
                <w:b/>
                <w:bCs/>
              </w:rPr>
              <w:t xml:space="preserve">CORRECTED</w:t>
            </w:r>
          </w:p>
        </w:tc>
        <w:tc>
          <w:tcPr/>
          <w:p>
            <w:pPr>
              <w:pStyle w:val="Compact"/>
            </w:pPr>
            <w:r>
              <w:t xml:space="preserve">This review published a wrong, outdated, or since-superseded version earlier; this is the fix.</w:t>
            </w:r>
          </w:p>
        </w:tc>
      </w:tr>
      <w:tr>
        <w:tc>
          <w:tcPr/>
          <w:p>
            <w:pPr>
              <w:pStyle w:val="Compact"/>
            </w:pPr>
            <w:r>
              <w:rPr>
                <w:b/>
                <w:bCs/>
              </w:rPr>
              <w:t xml:space="preserve">REQUESTED</w:t>
            </w:r>
          </w:p>
        </w:tc>
        <w:tc>
          <w:tcPr/>
          <w:p>
            <w:pPr>
              <w:pStyle w:val="Compact"/>
            </w:pPr>
            <w:r>
              <w:t xml:space="preserve">Confirmed absent from the public record after direct checking -- genuinely needs a records request to close, not merely unsearched.</w:t>
            </w:r>
          </w:p>
        </w:tc>
      </w:tr>
      <w:tr>
        <w:tc>
          <w:tcPr/>
          <w:p>
            <w:pPr>
              <w:pStyle w:val="Compact"/>
            </w:pPr>
            <w:r>
              <w:rPr>
                <w:b/>
                <w:bCs/>
              </w:rPr>
              <w:t xml:space="preserve">HEURISTIC</w:t>
            </w:r>
          </w:p>
        </w:tc>
        <w:tc>
          <w:tcPr/>
          <w:p>
            <w:pPr>
              <w:pStyle w:val="Compact"/>
            </w:pPr>
            <w:r>
              <w:t xml:space="preserve">Not an official City category -- this review's own consistent classification scheme, labelled as such throughout.</w:t>
            </w:r>
          </w:p>
        </w:tc>
      </w:tr>
    </w:tbl>
    <w:p>
      <w:pPr>
        <w:pStyle w:val="BodyText"/>
      </w:pPr>
      <w:r>
        <w:rPr>
          <w:b/>
          <w:bCs/>
        </w:rPr>
        <w:t xml:space="preserve">Totals across 66 logged claims:</w:t>
      </w:r>
      <w:r>
        <w:t xml:space="preserve"> </w:t>
      </w:r>
      <w:r>
        <w:t xml:space="preserve">VERIFIED: 48, DERIVED: 6, LIMITED: 2, REQUESTED: 4, CORRECTED: 5, HEURISTIC: 1.</w:t>
      </w:r>
    </w:p>
    <w:bookmarkEnd w:id="101"/>
    <w:bookmarkStart w:id="115" w:name="register"/>
    <w:p>
      <w:pPr>
        <w:pStyle w:val="Heading2"/>
      </w:pPr>
      <w:r>
        <w:t xml:space="preserve">Register</w:t>
      </w:r>
    </w:p>
    <w:bookmarkStart w:id="102" w:name="s3-capital-plan"/>
    <w:p>
      <w:pPr>
        <w:pStyle w:val="Heading3"/>
      </w:pPr>
      <w:r>
        <w:t xml:space="preserve">S3 Capital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2026 official capital plan, total by support type (Property tax/Water/Wastewater x Lifecycle/Growth/Service improvement)</w:t>
            </w:r>
          </w:p>
        </w:tc>
        <w:tc>
          <w:tcPr/>
          <w:p>
            <w:pPr>
              <w:pStyle w:val="Compact"/>
            </w:pPr>
            <w:r>
              <w:t xml:space="preserve">Property tax $3,588M; Water $707M; Wastewater &amp; Treatment $1,469M</w:t>
            </w:r>
          </w:p>
        </w:tc>
        <w:tc>
          <w:tcPr/>
          <w:p>
            <w:pPr>
              <w:pStyle w:val="Compact"/>
            </w:pPr>
            <w:r>
              <w:rPr>
                <w:b/>
                <w:bCs/>
              </w:rPr>
              <w:t xml:space="preserve">VERIFIED</w:t>
            </w:r>
          </w:p>
        </w:tc>
        <w:tc>
          <w:tcPr/>
          <w:p>
            <w:pPr>
              <w:pStyle w:val="Compact"/>
            </w:pPr>
            <w:r>
              <w:t xml:space="preserve">City of London, 2026 Multi-Year Budget capital-plan-by-project workbook</w:t>
            </w:r>
          </w:p>
        </w:tc>
        <w:tc>
          <w:tcPr/>
          <w:p>
            <w:pPr>
              <w:pStyle w:val="Compact"/>
            </w:pPr>
            <w:r>
              <w:t xml:space="preserve">Read directly from the City's own workbook; not recomputed.</w:t>
            </w:r>
          </w:p>
        </w:tc>
      </w:tr>
      <w:tr>
        <w:tc>
          <w:tcPr/>
          <w:p>
            <w:pPr>
              <w:pStyle w:val="Compact"/>
            </w:pPr>
            <w:r>
              <w:t xml:space="preserve">Top-5 named 'service improvement' capital projects, ranked by 2024-2033 budget</w:t>
            </w:r>
          </w:p>
        </w:tc>
        <w:tc>
          <w:tcPr/>
          <w:p>
            <w:pPr>
              <w:pStyle w:val="Compact"/>
            </w:pPr>
            <w:r>
              <w:t xml:space="preserve">MU1450 Highbury Facility $133.0M; GG1542 Master Accommodation Plan $125.5M; SW6080 Long Term Disposal Capacity $93.8M; FS1095 Fire Training Campus $68.3M; PP4484 Police HQ Expansion $58.4M</w:t>
            </w:r>
          </w:p>
        </w:tc>
        <w:tc>
          <w:tcPr/>
          <w:p>
            <w:pPr>
              <w:pStyle w:val="Compact"/>
            </w:pPr>
            <w:r>
              <w:rPr>
                <w:b/>
                <w:bCs/>
              </w:rPr>
              <w:t xml:space="preserve">DERIVED</w:t>
            </w:r>
          </w:p>
        </w:tc>
        <w:tc>
          <w:tcPr/>
          <w:p>
            <w:pPr>
              <w:pStyle w:val="Compact"/>
            </w:pPr>
            <w:r>
              <w:t xml:space="preserve">City of London, 2024-2027 Multi-Year Budget Capital Plan by Project workbook</w:t>
            </w:r>
          </w:p>
        </w:tc>
        <w:tc>
          <w:tcPr/>
          <w:p>
            <w:pPr>
              <w:pStyle w:val="Compact"/>
            </w:pPr>
            <w:r>
              <w:t xml:space="preserve">Self-derived ranking (this review's own re-sort of the workbook), not a City-published 'top 5' list. Corrected two wrong figures a research fork produced earlier this session (Roadmap to 3,000 was wrongly claimed at $78M; a Fanshawe grant wrongly claimed at $20.75M).</w:t>
            </w:r>
          </w:p>
        </w:tc>
      </w:tr>
    </w:tbl>
    <w:bookmarkEnd w:id="102"/>
    <w:bookmarkStart w:id="103" w:name="s4-operating-budget-vs-actual"/>
    <w:p>
      <w:pPr>
        <w:pStyle w:val="Heading3"/>
      </w:pPr>
      <w:r>
        <w:t xml:space="preserve">S4 Operating budget vs actual</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2024 Property-Tax-Supported Operating Budget: total expenses / revenues / annual surplus, budget vs actual</w:t>
            </w:r>
          </w:p>
        </w:tc>
        <w:tc>
          <w:tcPr/>
          <w:p>
            <w:pPr>
              <w:pStyle w:val="Compact"/>
            </w:pPr>
            <w:r>
              <w:t xml:space="preserve">Expenses $1,607.8M budget -&gt; $1,500.5M actual (-6.7%); Revenues $1,862.7M -&gt; $1,918.5M (+3.0%); Surplus $255.0M -&gt; $418.1M (+63.9%)</w:t>
            </w:r>
          </w:p>
        </w:tc>
        <w:tc>
          <w:tcPr/>
          <w:p>
            <w:pPr>
              <w:pStyle w:val="Compact"/>
            </w:pPr>
            <w:r>
              <w:rPr>
                <w:b/>
                <w:bCs/>
              </w:rPr>
              <w:t xml:space="preserve">VERIFIED</w:t>
            </w:r>
          </w:p>
        </w:tc>
        <w:tc>
          <w:tcPr/>
          <w:p>
            <w:pPr>
              <w:pStyle w:val="Compact"/>
            </w:pPr>
            <w:r>
              <w:t xml:space="preserve">City of London, 2024 Consolidated Financial Statements (audited)</w:t>
            </w:r>
          </w:p>
        </w:tc>
        <w:tc>
          <w:tcPr/>
          <w:p>
            <w:pPr>
              <w:pStyle w:val="Compact"/>
            </w:pPr>
            <w:r>
              <w:t xml:space="preserve">9-function PSAB breakdown also in report; largest single variance is Social housing at -28.2%.</w:t>
            </w:r>
          </w:p>
        </w:tc>
      </w:tr>
      <w:tr>
        <w:tc>
          <w:tcPr/>
          <w:p>
            <w:pPr>
              <w:pStyle w:val="Compact"/>
            </w:pPr>
            <w:r>
              <w:t xml:space="preserve">Personnel cost as % of tax-supported operating spend, 2024 vs budgeted 2027</w:t>
            </w:r>
          </w:p>
        </w:tc>
        <w:tc>
          <w:tcPr/>
          <w:p>
            <w:pPr>
              <w:pStyle w:val="Compact"/>
            </w:pPr>
            <w:r>
              <w:t xml:space="preserve">35.2% (2024) -&gt; 36.8% (2027 budgeted)</w:t>
            </w:r>
          </w:p>
        </w:tc>
        <w:tc>
          <w:tcPr/>
          <w:p>
            <w:pPr>
              <w:pStyle w:val="Compact"/>
            </w:pPr>
            <w:r>
              <w:rPr>
                <w:b/>
                <w:bCs/>
              </w:rPr>
              <w:t xml:space="preserve">VERIFIED</w:t>
            </w:r>
          </w:p>
        </w:tc>
        <w:tc>
          <w:tcPr/>
          <w:p>
            <w:pPr>
              <w:pStyle w:val="Compact"/>
            </w:pPr>
            <w:r>
              <w:t xml:space="preserve">City of London, 2024-2027 Multi-Year Approved Budget, object-of-expenditure schedule</w:t>
            </w:r>
          </w:p>
        </w:tc>
        <w:tc>
          <w:tcPr/>
          <w:p>
            <w:pPr>
              <w:pStyle w:val="Compact"/>
            </w:pPr>
          </w:p>
        </w:tc>
      </w:tr>
      <w:tr>
        <w:tc>
          <w:tcPr/>
          <w:p>
            <w:pPr>
              <w:pStyle w:val="Compact"/>
            </w:pPr>
            <w:r>
              <w:t xml:space="preserve">Tax-supported operating spend and net municipal taxation per resident, 2024</w:t>
            </w:r>
          </w:p>
        </w:tc>
        <w:tc>
          <w:tcPr/>
          <w:p>
            <w:pPr>
              <w:pStyle w:val="Compact"/>
            </w:pPr>
            <w:r>
              <w:t xml:space="preserve">$3,113/resident (operating spend); $1,939/resident (net taxation)</w:t>
            </w:r>
          </w:p>
        </w:tc>
        <w:tc>
          <w:tcPr/>
          <w:p>
            <w:pPr>
              <w:pStyle w:val="Compact"/>
            </w:pPr>
            <w:r>
              <w:rPr>
                <w:b/>
                <w:bCs/>
              </w:rPr>
              <w:t xml:space="preserve">DERIVED</w:t>
            </w:r>
          </w:p>
        </w:tc>
        <w:tc>
          <w:tcPr/>
          <w:p>
            <w:pPr>
              <w:pStyle w:val="Compact"/>
            </w:pPr>
            <w:r>
              <w:t xml:space="preserve">Numerator: City's own 2024 budget figures. Denominator: 2024 Drinking Water Summary Report, p.1 (~431,000 service population)</w:t>
            </w:r>
          </w:p>
        </w:tc>
        <w:tc>
          <w:tcPr/>
          <w:p>
            <w:pPr>
              <w:pStyle w:val="Compact"/>
            </w:pPr>
            <w:r>
              <w:t xml:space="preserve">Population denominator is a water-system service population proxy, not a StatCan census figure -- flagged in-report as best-available, not official.</w:t>
            </w:r>
          </w:p>
        </w:tc>
      </w:tr>
    </w:tbl>
    <w:bookmarkEnd w:id="103"/>
    <w:bookmarkStart w:id="104" w:name="s5-infrastructure-renewal-gap"/>
    <w:p>
      <w:pPr>
        <w:pStyle w:val="Heading3"/>
      </w:pPr>
      <w:r>
        <w:t xml:space="preserve">S5 Infrastructure renewal gap</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2023 replacement value of City-owned infrastructure</w:t>
            </w:r>
          </w:p>
        </w:tc>
        <w:tc>
          <w:tcPr/>
          <w:p>
            <w:pPr>
              <w:pStyle w:val="Compact"/>
            </w:pPr>
            <w:r>
              <w:t xml:space="preserve">$28.5 billion</w:t>
            </w:r>
          </w:p>
        </w:tc>
        <w:tc>
          <w:tcPr/>
          <w:p>
            <w:pPr>
              <w:pStyle w:val="Compact"/>
            </w:pPr>
            <w:r>
              <w:rPr>
                <w:b/>
                <w:bCs/>
              </w:rPr>
              <w:t xml:space="preserve">VERIFIED</w:t>
            </w:r>
          </w:p>
        </w:tc>
        <w:tc>
          <w:tcPr/>
          <w:p>
            <w:pPr>
              <w:pStyle w:val="Compact"/>
            </w:pPr>
            <w:r>
              <w:t xml:space="preserve">City of London, 2023 Corporate Asset Management Plan, Table 1.1 (p.21)</w:t>
            </w:r>
          </w:p>
        </w:tc>
        <w:tc>
          <w:tcPr/>
          <w:p>
            <w:pPr>
              <w:pStyle w:val="Compact"/>
            </w:pPr>
          </w:p>
        </w:tc>
      </w:tr>
      <w:tr>
        <w:tc>
          <w:tcPr/>
          <w:p>
            <w:pPr>
              <w:pStyle w:val="Compact"/>
            </w:pPr>
            <w:r>
              <w:t xml:space="preserve">10-year infrastructure funding gap, Maintain-Current vs Achieve-Proposed levels of service</w:t>
            </w:r>
          </w:p>
        </w:tc>
        <w:tc>
          <w:tcPr/>
          <w:p>
            <w:pPr>
              <w:pStyle w:val="Compact"/>
            </w:pPr>
            <w:r>
              <w:t xml:space="preserve">$946.1M (Maintain Current); $1,378.1M (Achieve Proposed)</w:t>
            </w:r>
          </w:p>
        </w:tc>
        <w:tc>
          <w:tcPr/>
          <w:p>
            <w:pPr>
              <w:pStyle w:val="Compact"/>
            </w:pPr>
            <w:r>
              <w:rPr>
                <w:b/>
                <w:bCs/>
              </w:rPr>
              <w:t xml:space="preserve">VERIFIED</w:t>
            </w:r>
          </w:p>
        </w:tc>
        <w:tc>
          <w:tcPr/>
          <w:p>
            <w:pPr>
              <w:pStyle w:val="Compact"/>
            </w:pPr>
            <w:r>
              <w:t xml:space="preserve">City of London, 2023 Corporate Asset Management Plan, Table 1.1 (p.21)</w:t>
            </w:r>
          </w:p>
        </w:tc>
        <w:tc>
          <w:tcPr/>
          <w:p>
            <w:pPr>
              <w:pStyle w:val="Compact"/>
            </w:pPr>
            <w:r>
              <w:t xml:space="preserve">A suspicious adjacent dollar column ('Interchange Ramps $7,435.4M') was deliberately NOT transcribed -- looked like a PDF column-misalignment artifact; excluded rather than published unverified.</w:t>
            </w:r>
          </w:p>
        </w:tc>
      </w:tr>
    </w:tbl>
    <w:bookmarkEnd w:id="104"/>
    <w:bookmarkStart w:id="105" w:name="s6-housing-output"/>
    <w:p>
      <w:pPr>
        <w:pStyle w:val="Heading3"/>
      </w:pPr>
      <w:r>
        <w:t xml:space="preserve">S6 Housing output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2025 new housing units approved via building permits, YoY change</w:t>
            </w:r>
          </w:p>
        </w:tc>
        <w:tc>
          <w:tcPr/>
          <w:p>
            <w:pPr>
              <w:pStyle w:val="Compact"/>
            </w:pPr>
            <w:r>
              <w:t xml:space="preserve">5,462 units, +47.62% vs 2024</w:t>
            </w:r>
          </w:p>
        </w:tc>
        <w:tc>
          <w:tcPr/>
          <w:p>
            <w:pPr>
              <w:pStyle w:val="Compact"/>
            </w:pPr>
            <w:r>
              <w:rPr>
                <w:b/>
                <w:bCs/>
              </w:rPr>
              <w:t xml:space="preserve">VERIFIED</w:t>
            </w:r>
          </w:p>
        </w:tc>
        <w:tc>
          <w:tcPr/>
          <w:p>
            <w:pPr>
              <w:pStyle w:val="Compact"/>
            </w:pPr>
            <w:r>
              <w:t xml:space="preserve">City of London, 2025 Annual Development Report</w:t>
            </w:r>
          </w:p>
        </w:tc>
        <w:tc>
          <w:tcPr/>
          <w:p>
            <w:pPr>
              <w:pStyle w:val="Compact"/>
            </w:pPr>
          </w:p>
        </w:tc>
      </w:tr>
      <w:tr>
        <w:tc>
          <w:tcPr/>
          <w:p>
            <w:pPr>
              <w:pStyle w:val="Compact"/>
            </w:pPr>
            <w:r>
              <w:t xml:space="preserve">2024 building permits for new units (prior-year cross-check) and total construction value</w:t>
            </w:r>
          </w:p>
        </w:tc>
        <w:tc>
          <w:tcPr/>
          <w:p>
            <w:pPr>
              <w:pStyle w:val="Compact"/>
            </w:pPr>
            <w:r>
              <w:t xml:space="preserve">3,700 permits (+114% vs 2023); $2.2B construction value (+82.2%)</w:t>
            </w:r>
          </w:p>
        </w:tc>
        <w:tc>
          <w:tcPr/>
          <w:p>
            <w:pPr>
              <w:pStyle w:val="Compact"/>
            </w:pPr>
            <w:r>
              <w:rPr>
                <w:b/>
                <w:bCs/>
              </w:rPr>
              <w:t xml:space="preserve">VERIFIED</w:t>
            </w:r>
          </w:p>
        </w:tc>
        <w:tc>
          <w:tcPr/>
          <w:p>
            <w:pPr>
              <w:pStyle w:val="Compact"/>
            </w:pPr>
            <w:r>
              <w:t xml:space="preserve">City of London newsroom, 'Record Breaking Growth in 2024'</w:t>
            </w:r>
          </w:p>
        </w:tc>
        <w:tc>
          <w:tcPr/>
          <w:p>
            <w:pPr>
              <w:pStyle w:val="Compact"/>
            </w:pPr>
            <w:r>
              <w:t xml:space="preserve">Internal consistency check: 3,700 x 1.4762 approx 5,462 -- matches the independently-sourced 2025 figure's own 47.62% growth rate almost exactly.</w:t>
            </w:r>
          </w:p>
        </w:tc>
      </w:tr>
      <w:tr>
        <w:tc>
          <w:tcPr/>
          <w:p>
            <w:pPr>
              <w:pStyle w:val="Compact"/>
            </w:pPr>
            <w:r>
              <w:t xml:space="preserve">'22,890 new housing units approved' (2024 newsroom release)</w:t>
            </w:r>
          </w:p>
        </w:tc>
        <w:tc>
          <w:tcPr/>
          <w:p>
            <w:pPr>
              <w:pStyle w:val="Compact"/>
            </w:pPr>
            <w:r>
              <w:t xml:space="preserve">22,890</w:t>
            </w:r>
          </w:p>
        </w:tc>
        <w:tc>
          <w:tcPr/>
          <w:p>
            <w:pPr>
              <w:pStyle w:val="Compact"/>
            </w:pPr>
            <w:r>
              <w:rPr>
                <w:b/>
                <w:bCs/>
              </w:rPr>
              <w:t xml:space="preserve">LIMITED</w:t>
            </w:r>
          </w:p>
        </w:tc>
        <w:tc>
          <w:tcPr/>
          <w:p>
            <w:pPr>
              <w:pStyle w:val="Compact"/>
            </w:pPr>
            <w:r>
              <w:t xml:space="preserve">City of London newsroom, 'Record Breaking Growth in 2024'</w:t>
            </w:r>
          </w:p>
        </w:tc>
        <w:tc>
          <w:tcPr/>
          <w:p>
            <w:pPr>
              <w:pStyle w:val="Compact"/>
            </w:pPr>
            <w:r>
              <w:t xml:space="preserve">Deliberately NOT equated with the 5,462/3,700 permit figures -- this is an earlier planning/zoning-approval-stage figure, a different measurement entirely. Flagged explicitly to prevent future conflation.</w:t>
            </w:r>
          </w:p>
        </w:tc>
      </w:tr>
      <w:tr>
        <w:tc>
          <w:tcPr/>
          <w:p>
            <w:pPr>
              <w:pStyle w:val="Compact"/>
            </w:pPr>
            <w:r>
              <w:t xml:space="preserve">'Roadmap to 3,000' affordable-housing project (SH3000), progress to date</w:t>
            </w:r>
          </w:p>
        </w:tc>
        <w:tc>
          <w:tcPr/>
          <w:p>
            <w:pPr>
              <w:pStyle w:val="Compact"/>
            </w:pPr>
            <w:r>
              <w:t xml:space="preserve">2,139 of 3,000 units (~71.3%)</w:t>
            </w:r>
          </w:p>
        </w:tc>
        <w:tc>
          <w:tcPr/>
          <w:p>
            <w:pPr>
              <w:pStyle w:val="Compact"/>
            </w:pPr>
            <w:r>
              <w:rPr>
                <w:b/>
                <w:bCs/>
              </w:rPr>
              <w:t xml:space="preserve">VERIFIED</w:t>
            </w:r>
          </w:p>
        </w:tc>
        <w:tc>
          <w:tcPr/>
          <w:p>
            <w:pPr>
              <w:pStyle w:val="Compact"/>
            </w:pPr>
            <w:r>
              <w:t xml:space="preserve">City of London newsroom, 'Record Breaking Growth in 2024'</w:t>
            </w:r>
          </w:p>
        </w:tc>
        <w:tc>
          <w:tcPr/>
          <w:p>
            <w:pPr>
              <w:pStyle w:val="Compact"/>
            </w:pPr>
            <w:r>
              <w:t xml:space="preserve">Real, dated progress on a named capital project already in S3/S15.</w:t>
            </w:r>
          </w:p>
        </w:tc>
      </w:tr>
    </w:tbl>
    <w:bookmarkEnd w:id="105"/>
    <w:bookmarkStart w:id="106" w:name="s7-planning-act-timeline"/>
    <w:p>
      <w:pPr>
        <w:pStyle w:val="Heading3"/>
      </w:pPr>
      <w:r>
        <w:t xml:space="preserve">S7 Planning Act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On-time performance across 10 application types, 2025</w:t>
            </w:r>
          </w:p>
        </w:tc>
        <w:tc>
          <w:tcPr/>
          <w:p>
            <w:pPr>
              <w:pStyle w:val="Compact"/>
            </w:pPr>
            <w:r>
              <w:t xml:space="preserve">Range: 33% (Draft Plan of Subdivision) to 100% (several types)</w:t>
            </w:r>
          </w:p>
        </w:tc>
        <w:tc>
          <w:tcPr/>
          <w:p>
            <w:pPr>
              <w:pStyle w:val="Compact"/>
            </w:pPr>
            <w:r>
              <w:rPr>
                <w:b/>
                <w:bCs/>
              </w:rPr>
              <w:t xml:space="preserve">VERIFIED</w:t>
            </w:r>
          </w:p>
        </w:tc>
        <w:tc>
          <w:tcPr/>
          <w:p>
            <w:pPr>
              <w:pStyle w:val="Compact"/>
            </w:pPr>
            <w:r>
              <w:t xml:space="preserve">City of London, 2025 Annual Development Report</w:t>
            </w:r>
          </w:p>
        </w:tc>
        <w:tc>
          <w:tcPr/>
          <w:p>
            <w:pPr>
              <w:pStyle w:val="Compact"/>
            </w:pPr>
            <w:r>
              <w:t xml:space="preserve">Carried forward unchanged from Edition 2.0. Draft Plan of Subdivision (33% on-time, 145 avg days) and Removal of Holding Provision (78%) are the two clearest exceptions.</w:t>
            </w:r>
          </w:p>
        </w:tc>
      </w:tr>
    </w:tbl>
    <w:bookmarkEnd w:id="106"/>
    <w:bookmarkStart w:id="107" w:name="s8-haf"/>
    <w:p>
      <w:pPr>
        <w:pStyle w:val="Heading3"/>
      </w:pPr>
      <w:r>
        <w:t xml:space="preserve">S8 HAF</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Housing Accelerator Fund Year-2 permits vs target</w:t>
            </w:r>
          </w:p>
        </w:tc>
        <w:tc>
          <w:tcPr/>
          <w:p>
            <w:pPr>
              <w:pStyle w:val="Compact"/>
            </w:pPr>
            <w:r>
              <w:t xml:space="preserve">4,284 actual vs 3,991 target (+293, ~7.3% above)</w:t>
            </w:r>
          </w:p>
        </w:tc>
        <w:tc>
          <w:tcPr/>
          <w:p>
            <w:pPr>
              <w:pStyle w:val="Compact"/>
            </w:pPr>
            <w:r>
              <w:rPr>
                <w:b/>
                <w:bCs/>
              </w:rPr>
              <w:t xml:space="preserve">VERIFIED</w:t>
            </w:r>
          </w:p>
        </w:tc>
        <w:tc>
          <w:tcPr/>
          <w:p>
            <w:pPr>
              <w:pStyle w:val="Compact"/>
            </w:pPr>
            <w:r>
              <w:t xml:space="preserve">City of London, Housing Accelerator Fund 2025 Annual Update</w:t>
            </w:r>
          </w:p>
        </w:tc>
        <w:tc>
          <w:tcPr/>
          <w:p>
            <w:pPr>
              <w:pStyle w:val="Compact"/>
            </w:pPr>
          </w:p>
        </w:tc>
      </w:tr>
      <w:tr>
        <w:tc>
          <w:tcPr/>
          <w:p>
            <w:pPr>
              <w:pStyle w:val="Compact"/>
            </w:pPr>
            <w:r>
              <w:t xml:space="preserve">HAF full program envelope</w:t>
            </w:r>
          </w:p>
        </w:tc>
        <w:tc>
          <w:tcPr/>
          <w:p>
            <w:pPr>
              <w:pStyle w:val="Compact"/>
            </w:pPr>
            <w:r>
              <w:t xml:space="preserve">2,371-unit target, 2024-2026; up to $81.5M eligible federal funding</w:t>
            </w:r>
          </w:p>
        </w:tc>
        <w:tc>
          <w:tcPr/>
          <w:p>
            <w:pPr>
              <w:pStyle w:val="Compact"/>
            </w:pPr>
            <w:r>
              <w:rPr>
                <w:b/>
                <w:bCs/>
              </w:rPr>
              <w:t xml:space="preserve">VERIFIED</w:t>
            </w:r>
          </w:p>
        </w:tc>
        <w:tc>
          <w:tcPr/>
          <w:p>
            <w:pPr>
              <w:pStyle w:val="Compact"/>
            </w:pPr>
            <w:r>
              <w:t xml:space="preserve">City of London's amended HAF application</w:t>
            </w:r>
          </w:p>
        </w:tc>
        <w:tc>
          <w:tcPr/>
          <w:p>
            <w:pPr>
              <w:pStyle w:val="Compact"/>
            </w:pPr>
          </w:p>
        </w:tc>
      </w:tr>
      <w:tr>
        <w:tc>
          <w:tcPr/>
          <w:p>
            <w:pPr>
              <w:pStyle w:val="Compact"/>
            </w:pPr>
            <w:r>
              <w:t xml:space="preserve">TOD Per-Unit Forgivable Loan Program ($15,000/unit) scored application results</w:t>
            </w:r>
          </w:p>
        </w:tc>
        <w:tc>
          <w:tcPr/>
          <w:p>
            <w:pPr>
              <w:pStyle w:val="Compact"/>
            </w:pPr>
            <w:r>
              <w:t xml:space="preserve">Not public</w:t>
            </w:r>
          </w:p>
        </w:tc>
        <w:tc>
          <w:tcPr/>
          <w:p>
            <w:pPr>
              <w:pStyle w:val="Compact"/>
            </w:pPr>
            <w:r>
              <w:rPr>
                <w:b/>
                <w:bCs/>
              </w:rPr>
              <w:t xml:space="preserve">REQUESTED</w:t>
            </w:r>
          </w:p>
        </w:tc>
        <w:tc>
          <w:tcPr/>
          <w:p>
            <w:pPr>
              <w:pStyle w:val="Compact"/>
            </w:pPr>
            <w:r>
              <w:t xml:space="preserve">n/a -- absence confirmed by repeated direct search (checked multiple passes this session)</w:t>
            </w:r>
          </w:p>
        </w:tc>
        <w:tc>
          <w:tcPr/>
          <w:p>
            <w:pPr>
              <w:pStyle w:val="Compact"/>
            </w:pPr>
            <w:r>
              <w:t xml:space="preserve">Genuinely not-yet-disclosed, not merely unretrieved -- application window closed Mar 27, 2026; results still not public as of 2026-08-20.</w:t>
            </w:r>
          </w:p>
        </w:tc>
      </w:tr>
      <w:tr>
        <w:tc>
          <w:tcPr/>
          <w:p>
            <w:pPr>
              <w:pStyle w:val="Compact"/>
            </w:pPr>
            <w:r>
              <w:t xml:space="preserve">'New Home Ownership Incentive Program' (Mayoral Direction 2026-001) status</w:t>
            </w:r>
          </w:p>
        </w:tc>
        <w:tc>
          <w:tcPr/>
          <w:p>
            <w:pPr>
              <w:pStyle w:val="Compact"/>
            </w:pPr>
            <w:r>
              <w:t xml:space="preserve">Committee-approved design (40% DC rebate, $5M/260 units) was sent back to staff and effectively abandoned by council, week of Mar 23, 2026; replaced Apr 29, 2026 by an ARU Construction Grant Program + $2.5M Temporary Building Permit Fee Waiver</w:t>
            </w:r>
          </w:p>
        </w:tc>
        <w:tc>
          <w:tcPr/>
          <w:p>
            <w:pPr>
              <w:pStyle w:val="Compact"/>
            </w:pPr>
            <w:r>
              <w:rPr>
                <w:b/>
                <w:bCs/>
              </w:rPr>
              <w:t xml:space="preserve">CORRECTED</w:t>
            </w:r>
          </w:p>
        </w:tc>
        <w:tc>
          <w:tcPr/>
          <w:p>
            <w:pPr>
              <w:pStyle w:val="Compact"/>
            </w:pPr>
            <w:r>
              <w:t xml:space="preserve">Feb 3/9 2026 SPPC reports; CBC News Mar 26 2026; CTV News London Mar 25 2026; City of London newsroom Apr 29 2026</w:t>
            </w:r>
          </w:p>
        </w:tc>
        <w:tc>
          <w:tcPr/>
          <w:p>
            <w:pPr>
              <w:pStyle w:val="Compact"/>
            </w:pPr>
            <w:r>
              <w:t xml:space="preserve">This edition previously described the Feb 2026 design as if it were an operating program. It was not -- corrected this session. The real committee-approved reallocation chain (Killaly Road/Hyde Park Pump Station/Lambeth/Longwoods) is preserved but reframed as 'approved, never implemented.' Whether that specific reallocation was ever executed or reversed is unconfirmed.</w:t>
            </w:r>
          </w:p>
        </w:tc>
      </w:tr>
      <w:tr>
        <w:tc>
          <w:tcPr/>
          <w:p>
            <w:pPr>
              <w:pStyle w:val="Compact"/>
            </w:pPr>
            <w:r>
              <w:t xml:space="preserve">Office-to-Residential CIP Incentive</w:t>
            </w:r>
          </w:p>
        </w:tc>
        <w:tc>
          <w:tcPr/>
          <w:p>
            <w:pPr>
              <w:pStyle w:val="Compact"/>
            </w:pPr>
            <w:r>
              <w:t xml:space="preserve">$35,000/unit forgivable loan, targeting 285 units toward the province's 47,000-home pledge</w:t>
            </w:r>
          </w:p>
        </w:tc>
        <w:tc>
          <w:tcPr/>
          <w:p>
            <w:pPr>
              <w:pStyle w:val="Compact"/>
            </w:pPr>
            <w:r>
              <w:rPr>
                <w:b/>
                <w:bCs/>
              </w:rPr>
              <w:t xml:space="preserve">VERIFIED</w:t>
            </w:r>
          </w:p>
        </w:tc>
        <w:tc>
          <w:tcPr/>
          <w:p>
            <w:pPr>
              <w:pStyle w:val="Compact"/>
            </w:pPr>
            <w:r>
              <w:t xml:space="preserve">City of London newsroom, 'Second Office-to-Residential Conversion Project...'</w:t>
            </w:r>
          </w:p>
        </w:tc>
        <w:tc>
          <w:tcPr/>
          <w:p>
            <w:pPr>
              <w:pStyle w:val="Compact"/>
            </w:pPr>
          </w:p>
        </w:tc>
      </w:tr>
      <w:tr>
        <w:tc>
          <w:tcPr/>
          <w:p>
            <w:pPr>
              <w:pStyle w:val="Compact"/>
            </w:pPr>
            <w:r>
              <w:t xml:space="preserve">A third, unrelated 'home ownership'-named program exists: Homeownership Down Payment Assistance Program</w:t>
            </w:r>
          </w:p>
        </w:tc>
        <w:tc>
          <w:tcPr/>
          <w:p>
            <w:pPr>
              <w:pStyle w:val="Compact"/>
            </w:pPr>
            <w:r>
              <w:t xml:space="preserve">Interest-free forgivable loan, up to 5% of purchase price (max $25,000), 20-yr term; OPHI-funded (federal/provincial/City)</w:t>
            </w:r>
          </w:p>
        </w:tc>
        <w:tc>
          <w:tcPr/>
          <w:p>
            <w:pPr>
              <w:pStyle w:val="Compact"/>
            </w:pPr>
            <w:r>
              <w:rPr>
                <w:b/>
                <w:bCs/>
              </w:rPr>
              <w:t xml:space="preserve">VERIFIED</w:t>
            </w:r>
          </w:p>
        </w:tc>
        <w:tc>
          <w:tcPr/>
          <w:p>
            <w:pPr>
              <w:pStyle w:val="Compact"/>
            </w:pPr>
            <w:r>
              <w:t xml:space="preserve">City of London, 'Homeownership Down Payment Assistance Program' page, london.ca</w:t>
            </w:r>
          </w:p>
        </w:tc>
        <w:tc>
          <w:tcPr/>
          <w:p>
            <w:pPr>
              <w:pStyle w:val="Compact"/>
            </w:pPr>
            <w:r>
              <w:t xml:space="preserve">Confirmed administratively/financially distinct from the abandoned Mayoral Direction 2026-001 program and from Office-to-Residential -- a third naming-collision risk, flagged explicitly.</w:t>
            </w:r>
          </w:p>
        </w:tc>
      </w:tr>
    </w:tbl>
    <w:bookmarkEnd w:id="107"/>
    <w:bookmarkStart w:id="108" w:name="s9-procurement"/>
    <w:p>
      <w:pPr>
        <w:pStyle w:val="Heading3"/>
      </w:pPr>
      <w:r>
        <w:t xml:space="preserve">S9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Award records with no disclosed dollar value</w:t>
            </w:r>
          </w:p>
        </w:tc>
        <w:tc>
          <w:tcPr/>
          <w:p>
            <w:pPr>
              <w:pStyle w:val="Compact"/>
            </w:pPr>
            <w:r>
              <w:t xml:space="preserve">70.5% (1,394 / 1,978)</w:t>
            </w:r>
          </w:p>
        </w:tc>
        <w:tc>
          <w:tcPr/>
          <w:p>
            <w:pPr>
              <w:pStyle w:val="Compact"/>
            </w:pPr>
            <w:r>
              <w:rPr>
                <w:b/>
                <w:bCs/>
              </w:rPr>
              <w:t xml:space="preserve">VERIFIED</w:t>
            </w:r>
          </w:p>
        </w:tc>
        <w:tc>
          <w:tcPr/>
          <w:p>
            <w:pPr>
              <w:pStyle w:val="Compact"/>
            </w:pPr>
            <w:r>
              <w:t xml:space="preserve">This review's own 1,978-record scrape of london.bidsandtenders.ca Contract Awards report</w:t>
            </w:r>
          </w:p>
        </w:tc>
        <w:tc>
          <w:tcPr/>
          <w:p>
            <w:pPr>
              <w:pStyle w:val="Compact"/>
            </w:pPr>
            <w:r>
              <w:t xml:space="preserve">Exactly reproduced this session via reproduce.py against clean_award_records.csv.</w:t>
            </w:r>
          </w:p>
        </w:tc>
      </w:tr>
      <w:tr>
        <w:tc>
          <w:tcPr/>
          <w:p>
            <w:pPr>
              <w:pStyle w:val="Compact"/>
            </w:pPr>
            <w:r>
              <w:t xml:space="preserve">Total known-value award amount and top-10 vendor share</w:t>
            </w:r>
          </w:p>
        </w:tc>
        <w:tc>
          <w:tcPr/>
          <w:p>
            <w:pPr>
              <w:pStyle w:val="Compact"/>
            </w:pPr>
            <w:r>
              <w:t xml:space="preserve">$1,022,279,436.11 total known-value; top-10 vendors = 71.6% of that total</w:t>
            </w:r>
          </w:p>
        </w:tc>
        <w:tc>
          <w:tcPr/>
          <w:p>
            <w:pPr>
              <w:pStyle w:val="Compact"/>
            </w:pPr>
            <w:r>
              <w:rPr>
                <w:b/>
                <w:bCs/>
              </w:rPr>
              <w:t xml:space="preserve">VERIFIED</w:t>
            </w:r>
          </w:p>
        </w:tc>
        <w:tc>
          <w:tcPr/>
          <w:p>
            <w:pPr>
              <w:pStyle w:val="Compact"/>
            </w:pPr>
            <w:r>
              <w:t xml:space="preserve">Same 1,978-record scrape</w:t>
            </w:r>
          </w:p>
        </w:tc>
        <w:tc>
          <w:tcPr/>
          <w:p>
            <w:pPr>
              <w:pStyle w:val="Compact"/>
            </w:pPr>
            <w:r>
              <w:t xml:space="preserve">Exactly reproduced.</w:t>
            </w:r>
          </w:p>
        </w:tc>
      </w:tr>
      <w:tr>
        <w:tc>
          <w:tcPr/>
          <w:p>
            <w:pPr>
              <w:pStyle w:val="Compact"/>
            </w:pPr>
            <w:r>
              <w:t xml:space="preserve">Infrastructure/Construction share of known-value awards; HHI overall and Infrastructure-only</w:t>
            </w:r>
          </w:p>
        </w:tc>
        <w:tc>
          <w:tcPr/>
          <w:p>
            <w:pPr>
              <w:pStyle w:val="Compact"/>
            </w:pPr>
            <w:r>
              <w:t xml:space="preserve">94.3% of known-value $ is Infrastructure/Construction; HHI 949.4 overall, 1,065.4 within Infrastructure</w:t>
            </w:r>
          </w:p>
        </w:tc>
        <w:tc>
          <w:tcPr/>
          <w:p>
            <w:pPr>
              <w:pStyle w:val="Compact"/>
            </w:pPr>
            <w:r>
              <w:rPr>
                <w:b/>
                <w:bCs/>
              </w:rPr>
              <w:t xml:space="preserve">VERIFIED</w:t>
            </w:r>
          </w:p>
        </w:tc>
        <w:tc>
          <w:tcPr/>
          <w:p>
            <w:pPr>
              <w:pStyle w:val="Compact"/>
            </w:pPr>
            <w:r>
              <w:t xml:space="preserve">Same 1,978-record scrape</w:t>
            </w:r>
          </w:p>
        </w:tc>
        <w:tc>
          <w:tcPr/>
          <w:p>
            <w:pPr>
              <w:pStyle w:val="Compact"/>
            </w:pPr>
            <w:r>
              <w:t xml:space="preserve">Exactly reproduced (949 published as rounded).</w:t>
            </w:r>
          </w:p>
        </w:tc>
      </w:tr>
      <w:tr>
        <w:tc>
          <w:tcPr/>
          <w:p>
            <w:pPr>
              <w:pStyle w:val="Compact"/>
            </w:pPr>
            <w:r>
              <w:t xml:space="preserve">Category-level HHI: Social/Community Services and Consulting/Professional Services</w:t>
            </w:r>
          </w:p>
        </w:tc>
        <w:tc>
          <w:tcPr/>
          <w:p>
            <w:pPr>
              <w:pStyle w:val="Compact"/>
            </w:pPr>
            <w:r>
              <w:t xml:space="preserve">Social/Community Services HHI 5,449 (top vendor 72.6% of $6.1M, 7 vendors); Consulting HHI 2,174 (top vendor 40.5% of $4.67M, 16 vendors)</w:t>
            </w:r>
          </w:p>
        </w:tc>
        <w:tc>
          <w:tcPr/>
          <w:p>
            <w:pPr>
              <w:pStyle w:val="Compact"/>
            </w:pPr>
            <w:r>
              <w:rPr>
                <w:b/>
                <w:bCs/>
              </w:rPr>
              <w:t xml:space="preserve">LIMITED</w:t>
            </w:r>
          </w:p>
        </w:tc>
        <w:tc>
          <w:tcPr/>
          <w:p>
            <w:pPr>
              <w:pStyle w:val="Compact"/>
            </w:pPr>
            <w:r>
              <w:t xml:space="preserve">Same scrape, category-filtered recompute</w:t>
            </w:r>
          </w:p>
        </w:tc>
        <w:tc>
          <w:tcPr/>
          <w:p>
            <w:pPr>
              <w:pStyle w:val="Compact"/>
            </w:pPr>
            <w:r>
              <w:t xml:space="preserve">Real but small-dollar-base categories -- explicit small-N volatility caveat published alongside these figures, not presented as equivalent-confidence to the overall/Infrastructure HHI.</w:t>
            </w:r>
          </w:p>
        </w:tc>
      </w:tr>
      <w:tr>
        <w:tc>
          <w:tcPr/>
          <w:p>
            <w:pPr>
              <w:pStyle w:val="Compact"/>
            </w:pPr>
            <w:r>
              <w:t xml:space="preserve">Corporate-family vendor-normalization effect on HHI</w:t>
            </w:r>
          </w:p>
        </w:tc>
        <w:tc>
          <w:tcPr/>
          <w:p>
            <w:pPr>
              <w:pStyle w:val="Compact"/>
            </w:pPr>
            <w:r>
              <w:t xml:space="preserve">949.4 -&gt; 949.4 (unchanged)</w:t>
            </w:r>
          </w:p>
        </w:tc>
        <w:tc>
          <w:tcPr/>
          <w:p>
            <w:pPr>
              <w:pStyle w:val="Compact"/>
            </w:pPr>
            <w:r>
              <w:rPr>
                <w:b/>
                <w:bCs/>
              </w:rPr>
              <w:t xml:space="preserve">DERIVED</w:t>
            </w:r>
          </w:p>
        </w:tc>
        <w:tc>
          <w:tcPr/>
          <w:p>
            <w:pPr>
              <w:pStyle w:val="Compact"/>
            </w:pPr>
            <w:r>
              <w:t xml:space="preserve">Same scrape; 14 of 267 known-value vendors flagged with an explicit corporate-family signal</w:t>
            </w:r>
          </w:p>
        </w:tc>
        <w:tc>
          <w:tcPr/>
          <w:p>
            <w:pPr>
              <w:pStyle w:val="Compact"/>
            </w:pPr>
            <w:r>
              <w:t xml:space="preserve">Tested and confirmed no material change -- corrects a prior edition's mere speculation that normalization 'would' refine the figure.</w:t>
            </w:r>
          </w:p>
        </w:tc>
      </w:tr>
      <w:tr>
        <w:tc>
          <w:tcPr/>
          <w:p>
            <w:pPr>
              <w:pStyle w:val="Compact"/>
            </w:pPr>
            <w:r>
              <w:t xml:space="preserve">Competitive bid-tabulation recoverable from the existing scrape, no new scraping</w:t>
            </w:r>
          </w:p>
        </w:tc>
        <w:tc>
          <w:tcPr/>
          <w:p>
            <w:pPr>
              <w:pStyle w:val="Compact"/>
            </w:pPr>
            <w:r>
              <w:t xml:space="preserve">49.4% of all records (978/1,978); 97.0% of high-value &gt;$1M awards (160/165)</w:t>
            </w:r>
          </w:p>
        </w:tc>
        <w:tc>
          <w:tcPr/>
          <w:p>
            <w:pPr>
              <w:pStyle w:val="Compact"/>
            </w:pPr>
            <w:r>
              <w:rPr>
                <w:b/>
                <w:bCs/>
              </w:rPr>
              <w:t xml:space="preserve">DERIVED</w:t>
            </w:r>
          </w:p>
        </w:tc>
        <w:tc>
          <w:tcPr/>
          <w:p>
            <w:pPr>
              <w:pStyle w:val="Compact"/>
            </w:pPr>
            <w:r>
              <w:t xml:space="preserve">Same scrape, re-parsed with the original parser's exact bid-extraction logic</w:t>
            </w:r>
          </w:p>
        </w:tc>
        <w:tc>
          <w:tcPr/>
          <w:p>
            <w:pPr>
              <w:pStyle w:val="Compact"/>
            </w:pPr>
            <w:r>
              <w:t xml:space="preserve">New finding, not previously published in any edition.</w:t>
            </w:r>
          </w:p>
        </w:tc>
      </w:tr>
      <w:tr>
        <w:tc>
          <w:tcPr/>
          <w:p>
            <w:pPr>
              <w:pStyle w:val="Compact"/>
            </w:pPr>
            <w:r>
              <w:t xml:space="preserve">Procurement policy citation: 2019 text vs current (Oct 1, 2025) text</w:t>
            </w:r>
          </w:p>
        </w:tc>
        <w:tc>
          <w:tcPr/>
          <w:p>
            <w:pPr>
              <w:pStyle w:val="Compact"/>
            </w:pPr>
            <w:r>
              <w:t xml:space="preserve">Annual report deadline moved Apr 30 -&gt; May 31; contract-amendment trigger changed from flat $50K/3% to a CFTA-threshold rule; biannual reporting thresholds $133,800(goods)/$334,000(construction) added</w:t>
            </w:r>
          </w:p>
        </w:tc>
        <w:tc>
          <w:tcPr/>
          <w:p>
            <w:pPr>
              <w:pStyle w:val="Compact"/>
            </w:pPr>
            <w:r>
              <w:rPr>
                <w:b/>
                <w:bCs/>
              </w:rPr>
              <w:t xml:space="preserve">CORRECTED</w:t>
            </w:r>
          </w:p>
        </w:tc>
        <w:tc>
          <w:tcPr/>
          <w:p>
            <w:pPr>
              <w:pStyle w:val="Compact"/>
            </w:pPr>
            <w:r>
              <w:t xml:space="preserve">City of London Procurement Policy, 2019 text vs current consolidated text, london.ca/council-policies</w:t>
            </w:r>
          </w:p>
        </w:tc>
        <w:tc>
          <w:tcPr/>
          <w:p>
            <w:pPr>
              <w:pStyle w:val="Compact"/>
            </w:pPr>
            <w:r>
              <w:t xml:space="preserve">This edition previously cited the 2019 policy as if still current. 5 intervening amendments exist (Feb 2022, May 2023 x2, Sep 2024, Jun 2025); only the two endpoints' exact text was retrieved -- the 3 intervening amendments' exact wording remains unretrieved (dates only).</w:t>
            </w:r>
          </w:p>
        </w:tc>
      </w:tr>
      <w:tr>
        <w:tc>
          <w:tcPr/>
          <w:p>
            <w:pPr>
              <w:pStyle w:val="Compact"/>
            </w:pPr>
            <w:r>
              <w:t xml:space="preserve">56.8% of known-value awards (332/584) exceed the CURRENT biannual-reporting threshold</w:t>
            </w:r>
          </w:p>
        </w:tc>
        <w:tc>
          <w:tcPr/>
          <w:p>
            <w:pPr>
              <w:pStyle w:val="Compact"/>
            </w:pPr>
            <w:r>
              <w:t xml:space="preserve">332/584 = 56.8%</w:t>
            </w:r>
          </w:p>
        </w:tc>
        <w:tc>
          <w:tcPr/>
          <w:p>
            <w:pPr>
              <w:pStyle w:val="Compact"/>
            </w:pPr>
            <w:r>
              <w:rPr>
                <w:b/>
                <w:bCs/>
              </w:rPr>
              <w:t xml:space="preserve">REQUESTED</w:t>
            </w:r>
          </w:p>
        </w:tc>
        <w:tc>
          <w:tcPr/>
          <w:p>
            <w:pPr>
              <w:pStyle w:val="Compact"/>
            </w:pPr>
            <w:r>
              <w:t xml:space="preserve">Same scrape + current policy threshold</w:t>
            </w:r>
          </w:p>
        </w:tc>
        <w:tc>
          <w:tcPr/>
          <w:p>
            <w:pPr>
              <w:pStyle w:val="Compact"/>
            </w:pPr>
            <w:r>
              <w:t xml:space="preserve">Computed, not independently cross-checked against the City's actual biannual reports -- presented as a lead requiring that cross-check, not a compliance finding.</w:t>
            </w:r>
          </w:p>
        </w:tc>
      </w:tr>
      <w:tr>
        <w:tc>
          <w:tcPr/>
          <w:p>
            <w:pPr>
              <w:pStyle w:val="Compact"/>
            </w:pPr>
            <w:r>
              <w:t xml:space="preserve">Vendor Risk Management Audit -&gt; June 2025 procurement policy revision, causal link</w:t>
            </w:r>
          </w:p>
        </w:tc>
        <w:tc>
          <w:tcPr/>
          <w:p>
            <w:pPr>
              <w:pStyle w:val="Compact"/>
            </w:pPr>
            <w:r>
              <w:t xml:space="preserve">All 5 tracked management actions closed; new Vendor Performance Management framework incorporated into the policy revision</w:t>
            </w:r>
          </w:p>
        </w:tc>
        <w:tc>
          <w:tcPr/>
          <w:p>
            <w:pPr>
              <w:pStyle w:val="Compact"/>
            </w:pPr>
            <w:r>
              <w:rPr>
                <w:b/>
                <w:bCs/>
              </w:rPr>
              <w:t xml:space="preserve">VERIFIED</w:t>
            </w:r>
          </w:p>
        </w:tc>
        <w:tc>
          <w:tcPr/>
          <w:p>
            <w:pPr>
              <w:pStyle w:val="Compact"/>
            </w:pPr>
            <w:r>
              <w:t xml:space="preserve">MNP LLP Internal Audit Follow Up Activities Dashboard, Sept 10 2025</w:t>
            </w:r>
          </w:p>
        </w:tc>
        <w:tc>
          <w:tcPr/>
          <w:p>
            <w:pPr>
              <w:pStyle w:val="Compact"/>
            </w:pPr>
            <w:r>
              <w:t xml:space="preserve">Found this session -- explains why the policy was revised in June 2025, closing a causal loop this edition previously only had one side of.</w:t>
            </w:r>
          </w:p>
        </w:tc>
      </w:tr>
    </w:tbl>
    <w:bookmarkEnd w:id="108"/>
    <w:bookmarkStart w:id="109" w:name="s10-dc-reserve-pressure"/>
    <w:p>
      <w:pPr>
        <w:pStyle w:val="Heading3"/>
      </w:pPr>
      <w:r>
        <w:t xml:space="preserve">S10 DC reserve pressure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Cumulative DC revenue shortfall vs 2021 Background Study, 2021-2024</w:t>
            </w:r>
          </w:p>
        </w:tc>
        <w:tc>
          <w:tcPr/>
          <w:p>
            <w:pPr>
              <w:pStyle w:val="Compact"/>
            </w:pPr>
            <w:r>
              <w:t xml:space="preserve">$114 million</w:t>
            </w:r>
          </w:p>
        </w:tc>
        <w:tc>
          <w:tcPr/>
          <w:p>
            <w:pPr>
              <w:pStyle w:val="Compact"/>
            </w:pPr>
            <w:r>
              <w:rPr>
                <w:b/>
                <w:bCs/>
              </w:rPr>
              <w:t xml:space="preserve">VERIFIED</w:t>
            </w:r>
          </w:p>
        </w:tc>
        <w:tc>
          <w:tcPr/>
          <w:p>
            <w:pPr>
              <w:pStyle w:val="Compact"/>
            </w:pPr>
            <w:r>
              <w:t xml:space="preserve">City of London, 2025 Annual Report on Development Charges Reserve Funds</w:t>
            </w:r>
          </w:p>
        </w:tc>
        <w:tc>
          <w:tcPr/>
          <w:p>
            <w:pPr>
              <w:pStyle w:val="Compact"/>
            </w:pPr>
          </w:p>
        </w:tc>
      </w:tr>
      <w:tr>
        <w:tc>
          <w:tcPr/>
          <w:p>
            <w:pPr>
              <w:pStyle w:val="Compact"/>
            </w:pPr>
            <w:r>
              <w:t xml:space="preserve">Debt tied to DC revenue (issued + authorized-unissued) and total City Services Reserve Fund balance</w:t>
            </w:r>
          </w:p>
        </w:tc>
        <w:tc>
          <w:tcPr/>
          <w:p>
            <w:pPr>
              <w:pStyle w:val="Compact"/>
            </w:pPr>
            <w:r>
              <w:t xml:space="preserve">$349.4M debt; $364.8M total CSRF balance, Dec 31 2024 (-&gt; $327.1M by 2025)</w:t>
            </w:r>
          </w:p>
        </w:tc>
        <w:tc>
          <w:tcPr/>
          <w:p>
            <w:pPr>
              <w:pStyle w:val="Compact"/>
            </w:pPr>
            <w:r>
              <w:rPr>
                <w:b/>
                <w:bCs/>
              </w:rPr>
              <w:t xml:space="preserve">VERIFIED</w:t>
            </w:r>
          </w:p>
        </w:tc>
        <w:tc>
          <w:tcPr/>
          <w:p>
            <w:pPr>
              <w:pStyle w:val="Compact"/>
            </w:pPr>
            <w:r>
              <w:t xml:space="preserve">Same DC Reserve Fund report</w:t>
            </w:r>
          </w:p>
        </w:tc>
        <w:tc>
          <w:tcPr/>
          <w:p>
            <w:pPr>
              <w:pStyle w:val="Compact"/>
            </w:pPr>
          </w:p>
        </w:tc>
      </w:tr>
      <w:tr>
        <w:tc>
          <w:tcPr/>
          <w:p>
            <w:pPr>
              <w:pStyle w:val="Compact"/>
            </w:pPr>
            <w:r>
              <w:t xml:space="preserve">$16.6M retained in Operating Budget Contingency Reserve specifically to fund statutory DC-exemption shortfalls</w:t>
            </w:r>
          </w:p>
        </w:tc>
        <w:tc>
          <w:tcPr/>
          <w:p>
            <w:pPr>
              <w:pStyle w:val="Compact"/>
            </w:pPr>
            <w:r>
              <w:t xml:space="preserve">$16.6M</w:t>
            </w:r>
          </w:p>
        </w:tc>
        <w:tc>
          <w:tcPr/>
          <w:p>
            <w:pPr>
              <w:pStyle w:val="Compact"/>
            </w:pPr>
            <w:r>
              <w:rPr>
                <w:b/>
                <w:bCs/>
              </w:rPr>
              <w:t xml:space="preserve">VERIFIED</w:t>
            </w:r>
          </w:p>
        </w:tc>
        <w:tc>
          <w:tcPr/>
          <w:p>
            <w:pPr>
              <w:pStyle w:val="Compact"/>
            </w:pPr>
            <w:r>
              <w:t xml:space="preserve">City of London, 2024 Year-End Operating Budget Monitoring Report</w:t>
            </w:r>
          </w:p>
        </w:tc>
        <w:tc>
          <w:tcPr/>
          <w:p>
            <w:pPr>
              <w:pStyle w:val="Compact"/>
            </w:pPr>
          </w:p>
        </w:tc>
      </w:tr>
    </w:tbl>
    <w:bookmarkEnd w:id="109"/>
    <w:bookmarkStart w:id="110" w:name="s11-financial-condition"/>
    <w:p>
      <w:pPr>
        <w:pStyle w:val="Heading3"/>
      </w:pPr>
      <w:r>
        <w:t xml:space="preserve">S11 Financial condition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Net financial assets, long-term debt, accumulated surplus, employee benefits payable, disclosed future commitments (2024, audited)</w:t>
            </w:r>
          </w:p>
        </w:tc>
        <w:tc>
          <w:tcPr/>
          <w:p>
            <w:pPr>
              <w:pStyle w:val="Compact"/>
            </w:pPr>
            <w:r>
              <w:t xml:space="preserve">Net financial assets $1,232.8M; LT debt $193.6M; Accumulated surplus $6,119.3M; Employee benefits payable $232.4M; Future commitments $604.9M</w:t>
            </w:r>
          </w:p>
        </w:tc>
        <w:tc>
          <w:tcPr/>
          <w:p>
            <w:pPr>
              <w:pStyle w:val="Compact"/>
            </w:pPr>
            <w:r>
              <w:rPr>
                <w:b/>
                <w:bCs/>
              </w:rPr>
              <w:t xml:space="preserve">VERIFIED</w:t>
            </w:r>
          </w:p>
        </w:tc>
        <w:tc>
          <w:tcPr/>
          <w:p>
            <w:pPr>
              <w:pStyle w:val="Compact"/>
            </w:pPr>
            <w:r>
              <w:t xml:space="preserve">City of London, 2024 Consolidated Financial Statements (KPMG-audited)</w:t>
            </w:r>
          </w:p>
        </w:tc>
        <w:tc>
          <w:tcPr/>
          <w:p>
            <w:pPr>
              <w:pStyle w:val="Compact"/>
            </w:pPr>
          </w:p>
        </w:tc>
      </w:tr>
      <w:tr>
        <w:tc>
          <w:tcPr/>
          <w:p>
            <w:pPr>
              <w:pStyle w:val="Compact"/>
            </w:pPr>
            <w:r>
              <w:t xml:space="preserve">Land and buildings, net book value (Note 14)</w:t>
            </w:r>
          </w:p>
        </w:tc>
        <w:tc>
          <w:tcPr/>
          <w:p>
            <w:pPr>
              <w:pStyle w:val="Compact"/>
            </w:pPr>
            <w:r>
              <w:t xml:space="preserve">Land $557.1M (2024, up from $524.9M); Buildings $612.0M (2024, up from $569.5M)</w:t>
            </w:r>
          </w:p>
        </w:tc>
        <w:tc>
          <w:tcPr/>
          <w:p>
            <w:pPr>
              <w:pStyle w:val="Compact"/>
            </w:pPr>
            <w:r>
              <w:rPr>
                <w:b/>
                <w:bCs/>
              </w:rPr>
              <w:t xml:space="preserve">VERIFIED</w:t>
            </w:r>
          </w:p>
        </w:tc>
        <w:tc>
          <w:tcPr/>
          <w:p>
            <w:pPr>
              <w:pStyle w:val="Compact"/>
            </w:pPr>
            <w:r>
              <w:t xml:space="preserve">City of London, 2024 Consolidated Financial Statements, Note 14</w:t>
            </w:r>
          </w:p>
        </w:tc>
        <w:tc>
          <w:tcPr/>
          <w:p>
            <w:pPr>
              <w:pStyle w:val="Compact"/>
            </w:pPr>
            <w:r>
              <w:t xml:space="preserve">Used as the real-estate-portfolio aggregate proxy -- net book value, not market value; not address-level.</w:t>
            </w:r>
          </w:p>
        </w:tc>
      </w:tr>
    </w:tbl>
    <w:bookmarkEnd w:id="110"/>
    <w:bookmarkStart w:id="111" w:name="s12-salary"/>
    <w:p>
      <w:pPr>
        <w:pStyle w:val="Heading3"/>
      </w:pPr>
      <w:r>
        <w:t xml:space="preserve">S12 Salary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Ontario Sunshine List, City of London: disclosed employees and total compensation, 2021 vs 2025</w:t>
            </w:r>
          </w:p>
        </w:tc>
        <w:tc>
          <w:tcPr/>
          <w:p>
            <w:pPr>
              <w:pStyle w:val="Compact"/>
            </w:pPr>
            <w:r>
              <w:t xml:space="preserve">579 -&gt; 831 employees; $74.4M -&gt; $109.0M total compensation; avg salary $127.5K -&gt; $129.7K</w:t>
            </w:r>
          </w:p>
        </w:tc>
        <w:tc>
          <w:tcPr/>
          <w:p>
            <w:pPr>
              <w:pStyle w:val="Compact"/>
            </w:pPr>
            <w:r>
              <w:rPr>
                <w:b/>
                <w:bCs/>
              </w:rPr>
              <w:t xml:space="preserve">VERIFIED</w:t>
            </w:r>
          </w:p>
        </w:tc>
        <w:tc>
          <w:tcPr/>
          <w:p>
            <w:pPr>
              <w:pStyle w:val="Compact"/>
            </w:pPr>
            <w:r>
              <w:t xml:space="preserve">Ontario Public Sector Salary Disclosure ('Sunshine List'), filtered to Employer = 'City Of London'</w:t>
            </w:r>
          </w:p>
        </w:tc>
        <w:tc>
          <w:tcPr/>
          <w:p>
            <w:pPr>
              <w:pStyle w:val="Compact"/>
            </w:pPr>
            <w:r>
              <w:t xml:space="preserve">Official Province of Ontario dataset, not City-produced.</w:t>
            </w:r>
          </w:p>
        </w:tc>
      </w:tr>
      <w:tr>
        <w:tc>
          <w:tcPr/>
          <w:p>
            <w:pPr>
              <w:pStyle w:val="Compact"/>
            </w:pPr>
            <w:r>
              <w:t xml:space="preserve">Role-bucket growth by keyword classification, 2021-2025</w:t>
            </w:r>
          </w:p>
        </w:tc>
        <w:tc>
          <w:tcPr/>
          <w:p>
            <w:pPr>
              <w:pStyle w:val="Compact"/>
            </w:pPr>
            <w:r>
              <w:t xml:space="preserve">Management/Supervisor 167-&gt;293 (+75.4%); largest % growth Operations/Trades/Field 5-&gt;43 (+760%, small base)</w:t>
            </w:r>
          </w:p>
        </w:tc>
        <w:tc>
          <w:tcPr/>
          <w:p>
            <w:pPr>
              <w:pStyle w:val="Compact"/>
            </w:pPr>
            <w:r>
              <w:rPr>
                <w:b/>
                <w:bCs/>
              </w:rPr>
              <w:t xml:space="preserve">HEURISTIC</w:t>
            </w:r>
          </w:p>
        </w:tc>
        <w:tc>
          <w:tcPr/>
          <w:p>
            <w:pPr>
              <w:pStyle w:val="Compact"/>
            </w:pPr>
            <w:r>
              <w:t xml:space="preserve">This review's own keyword classification of Sunshine List job titles</w:t>
            </w:r>
          </w:p>
        </w:tc>
        <w:tc>
          <w:tcPr/>
          <w:p>
            <w:pPr>
              <w:pStyle w:val="Compact"/>
            </w:pPr>
            <w:r>
              <w:t xml:space="preserve">Explicitly labelled throughout as a heuristic, not an official City category.</w:t>
            </w:r>
          </w:p>
        </w:tc>
      </w:tr>
      <w:tr>
        <w:tc>
          <w:tcPr/>
          <w:p>
            <w:pPr>
              <w:pStyle w:val="Compact"/>
            </w:pPr>
            <w:r>
              <w:t xml:space="preserve">Total FTE across all 92 City service Business Plans, 2024</w:t>
            </w:r>
          </w:p>
        </w:tc>
        <w:tc>
          <w:tcPr/>
          <w:p>
            <w:pPr>
              <w:pStyle w:val="Compact"/>
            </w:pPr>
            <w:r>
              <w:t xml:space="preserve">4,690.9</w:t>
            </w:r>
          </w:p>
        </w:tc>
        <w:tc>
          <w:tcPr/>
          <w:p>
            <w:pPr>
              <w:pStyle w:val="Compact"/>
            </w:pPr>
            <w:r>
              <w:rPr>
                <w:b/>
                <w:bCs/>
              </w:rPr>
              <w:t xml:space="preserve">DERIVED</w:t>
            </w:r>
          </w:p>
        </w:tc>
        <w:tc>
          <w:tcPr/>
          <w:p>
            <w:pPr>
              <w:pStyle w:val="Compact"/>
            </w:pPr>
            <w:r>
              <w:t xml:space="preserve">City of London, 2024-2027 Business Plans (92 PDFs), 'FTE' line, 2024 column</w:t>
            </w:r>
          </w:p>
        </w:tc>
        <w:tc>
          <w:tcPr/>
          <w:p>
            <w:pPr>
              <w:pStyle w:val="Compact"/>
            </w:pPr>
            <w:r>
              <w:t xml:space="preserve">Sum of 92 separately-published figures -- excludes London Police Service (separately governed).</w:t>
            </w:r>
          </w:p>
        </w:tc>
      </w:tr>
      <w:tr>
        <w:tc>
          <w:tcPr/>
          <w:p>
            <w:pPr>
              <w:pStyle w:val="Compact"/>
            </w:pPr>
            <w:r>
              <w:t xml:space="preserve">London Police Service sworn (Uniform) count; London Fire Department sworn (Uniform) count</w:t>
            </w:r>
          </w:p>
        </w:tc>
        <w:tc>
          <w:tcPr/>
          <w:p>
            <w:pPr>
              <w:pStyle w:val="Compact"/>
            </w:pPr>
            <w:r>
              <w:t xml:space="preserve">Police: 781 sworn (1,085 FT total incl. civilian); Fire: 376 sworn (456 FT total)</w:t>
            </w:r>
          </w:p>
        </w:tc>
        <w:tc>
          <w:tcPr/>
          <w:p>
            <w:pPr>
              <w:pStyle w:val="Compact"/>
            </w:pPr>
            <w:r>
              <w:rPr>
                <w:b/>
                <w:bCs/>
              </w:rPr>
              <w:t xml:space="preserve">VERIFIED</w:t>
            </w:r>
          </w:p>
        </w:tc>
        <w:tc>
          <w:tcPr/>
          <w:p>
            <w:pPr>
              <w:pStyle w:val="Compact"/>
            </w:pPr>
            <w:r>
              <w:t xml:space="preserve">Province of Ontario, 2025 Financial Information Return for 'London C,' Schedule 80A</w:t>
            </w:r>
          </w:p>
        </w:tc>
        <w:tc>
          <w:tcPr/>
          <w:p>
            <w:pPr>
              <w:pStyle w:val="Compact"/>
            </w:pPr>
            <w:r>
              <w:t xml:space="preserve">Closes an item explicitly dropped in two prior passes for lack of a reliable source; found via the province's own mandatory municipal filing.</w:t>
            </w:r>
          </w:p>
        </w:tc>
      </w:tr>
      <w:tr>
        <w:tc>
          <w:tcPr/>
          <w:p>
            <w:pPr>
              <w:pStyle w:val="Compact"/>
            </w:pPr>
            <w:r>
              <w:t xml:space="preserve">Citywide funded-position total, municipality + joint local boards</w:t>
            </w:r>
          </w:p>
        </w:tc>
        <w:tc>
          <w:tcPr/>
          <w:p>
            <w:pPr>
              <w:pStyle w:val="Compact"/>
            </w:pPr>
            <w:r>
              <w:t xml:space="preserve">5,358 FT + 269 PT + 2,042 seasonal</w:t>
            </w:r>
          </w:p>
        </w:tc>
        <w:tc>
          <w:tcPr/>
          <w:p>
            <w:pPr>
              <w:pStyle w:val="Compact"/>
            </w:pPr>
            <w:r>
              <w:rPr>
                <w:b/>
                <w:bCs/>
              </w:rPr>
              <w:t xml:space="preserve">VERIFIED</w:t>
            </w:r>
          </w:p>
        </w:tc>
        <w:tc>
          <w:tcPr/>
          <w:p>
            <w:pPr>
              <w:pStyle w:val="Compact"/>
            </w:pPr>
            <w:r>
              <w:t xml:space="preserve">Same FIR, Schedule 80A</w:t>
            </w:r>
          </w:p>
        </w:tc>
        <w:tc>
          <w:tcPr/>
          <w:p>
            <w:pPr>
              <w:pStyle w:val="Compact"/>
            </w:pPr>
            <w:r>
              <w:t xml:space="preserve">A different, complementary measure from the 4,690.9 Business-Plan FTE figure -- different scope (includes Police/Transit/Library/Health boards; raw headcount not FTE-weighted). Not to be summed with the 4,690.9 figure.</w:t>
            </w:r>
          </w:p>
        </w:tc>
      </w:tr>
      <w:tr>
        <w:tc>
          <w:tcPr/>
          <w:p>
            <w:pPr>
              <w:pStyle w:val="Compact"/>
            </w:pPr>
            <w:r>
              <w:t xml:space="preserve">Overtime dollars, citywide vacancy rate, turnover, true management ratio</w:t>
            </w:r>
          </w:p>
        </w:tc>
        <w:tc>
          <w:tcPr/>
          <w:p>
            <w:pPr>
              <w:pStyle w:val="Compact"/>
            </w:pPr>
            <w:r>
              <w:t xml:space="preserve">Not available anywhere in the public record checked</w:t>
            </w:r>
          </w:p>
        </w:tc>
        <w:tc>
          <w:tcPr/>
          <w:p>
            <w:pPr>
              <w:pStyle w:val="Compact"/>
            </w:pPr>
            <w:r>
              <w:rPr>
                <w:b/>
                <w:bCs/>
              </w:rPr>
              <w:t xml:space="preserve">REQUESTED</w:t>
            </w:r>
          </w:p>
        </w:tc>
        <w:tc>
          <w:tcPr/>
          <w:p>
            <w:pPr>
              <w:pStyle w:val="Compact"/>
            </w:pPr>
            <w:r>
              <w:t xml:space="preserve">Checked directly: 92 Business Plans, the FIR, and City operating-budget monitoring reports</w:t>
            </w:r>
          </w:p>
        </w:tc>
        <w:tc>
          <w:tcPr/>
          <w:p>
            <w:pPr>
              <w:pStyle w:val="Compact"/>
            </w:pPr>
            <w:r>
              <w:t xml:space="preserve">Confirmed absent from the two most authoritative candidate sources, not merely unsearched. One narrow real exception: a $0.6M Wastewater-fund-specific 'vacancy' personnel savings line (2024 Year-End Operating Budget Monitoring Report).</w:t>
            </w:r>
          </w:p>
        </w:tc>
      </w:tr>
      <w:tr>
        <w:tc>
          <w:tcPr/>
          <w:p>
            <w:pPr>
              <w:pStyle w:val="Compact"/>
            </w:pPr>
            <w:r>
              <w:t xml:space="preserve">Two scope-matched productivity ratios</w:t>
            </w:r>
          </w:p>
        </w:tc>
        <w:tc>
          <w:tcPr/>
          <w:p>
            <w:pPr>
              <w:pStyle w:val="Compact"/>
            </w:pPr>
            <w:r>
              <w:t xml:space="preserve">29.3 lane-km per Roadway Maintenance FTE; 60.5 2025 housing units approved per Building Approvals FTE</w:t>
            </w:r>
          </w:p>
        </w:tc>
        <w:tc>
          <w:tcPr/>
          <w:p>
            <w:pPr>
              <w:pStyle w:val="Compact"/>
            </w:pPr>
            <w:r>
              <w:rPr>
                <w:b/>
                <w:bCs/>
              </w:rPr>
              <w:t xml:space="preserve">DERIVED</w:t>
            </w:r>
          </w:p>
        </w:tc>
        <w:tc>
          <w:tcPr/>
          <w:p>
            <w:pPr>
              <w:pStyle w:val="Compact"/>
            </w:pPr>
            <w:r>
              <w:t xml:space="preserve">2024-2027 Business Plans + S6 permit data</w:t>
            </w:r>
          </w:p>
        </w:tc>
        <w:tc>
          <w:tcPr/>
          <w:p>
            <w:pPr>
              <w:pStyle w:val="Compact"/>
            </w:pPr>
          </w:p>
        </w:tc>
      </w:tr>
      <w:tr>
        <w:tc>
          <w:tcPr/>
          <w:p>
            <w:pPr>
              <w:pStyle w:val="Compact"/>
            </w:pPr>
            <w:r>
              <w:t xml:space="preserve">Fire: 2024 total responses, responses/FTE, residential fires without a working smoke alarm</w:t>
            </w:r>
          </w:p>
        </w:tc>
        <w:tc>
          <w:tcPr/>
          <w:p>
            <w:pPr>
              <w:pStyle w:val="Compact"/>
            </w:pPr>
            <w:r>
              <w:t xml:space="preserve">13,937 responses; 33.1 responses/FTE; 21% (50/235) of residential fires lacked a working smoke alarm</w:t>
            </w:r>
          </w:p>
        </w:tc>
        <w:tc>
          <w:tcPr/>
          <w:p>
            <w:pPr>
              <w:pStyle w:val="Compact"/>
            </w:pPr>
            <w:r>
              <w:rPr>
                <w:b/>
                <w:bCs/>
              </w:rPr>
              <w:t xml:space="preserve">VERIFIED</w:t>
            </w:r>
          </w:p>
        </w:tc>
        <w:tc>
          <w:tcPr/>
          <w:p>
            <w:pPr>
              <w:pStyle w:val="Compact"/>
            </w:pPr>
            <w:r>
              <w:t xml:space="preserve">City of London, London Fire Department Fire Master Plan Annual Update, May 20 2025</w:t>
            </w:r>
          </w:p>
        </w:tc>
        <w:tc>
          <w:tcPr/>
          <w:p>
            <w:pPr>
              <w:pStyle w:val="Compact"/>
            </w:pPr>
          </w:p>
        </w:tc>
      </w:tr>
      <w:tr>
        <w:tc>
          <w:tcPr/>
          <w:p>
            <w:pPr>
              <w:pStyle w:val="Compact"/>
            </w:pPr>
            <w:r>
              <w:t xml:space="preserve">Drinking water: 2024 regulated-parameter exceedances, adverse bacteriological incidents, service population</w:t>
            </w:r>
          </w:p>
        </w:tc>
        <w:tc>
          <w:tcPr/>
          <w:p>
            <w:pPr>
              <w:pStyle w:val="Compact"/>
            </w:pPr>
            <w:r>
              <w:t xml:space="preserve">0 of ~70+ regulated parameters exceeded; 1 minor adverse bacteriological incident (resolved by resample); ~431,000 population served</w:t>
            </w:r>
          </w:p>
        </w:tc>
        <w:tc>
          <w:tcPr/>
          <w:p>
            <w:pPr>
              <w:pStyle w:val="Compact"/>
            </w:pPr>
            <w:r>
              <w:rPr>
                <w:b/>
                <w:bCs/>
              </w:rPr>
              <w:t xml:space="preserve">VERIFIED</w:t>
            </w:r>
          </w:p>
        </w:tc>
        <w:tc>
          <w:tcPr/>
          <w:p>
            <w:pPr>
              <w:pStyle w:val="Compact"/>
            </w:pPr>
            <w:r>
              <w:t xml:space="preserve">City of London, 2024 Drinking Water Summary Report (O.Reg 170/03)</w:t>
            </w:r>
          </w:p>
        </w:tc>
        <w:tc>
          <w:tcPr/>
          <w:p>
            <w:pPr>
              <w:pStyle w:val="Compact"/>
            </w:pPr>
            <w:r>
              <w:t xml:space="preserve">The 431,000 population figure is also used as the operating-budget per-resident denominator in S4.</w:t>
            </w:r>
          </w:p>
        </w:tc>
      </w:tr>
      <w:tr>
        <w:tc>
          <w:tcPr/>
          <w:p>
            <w:pPr>
              <w:pStyle w:val="Compact"/>
            </w:pPr>
            <w:r>
              <w:t xml:space="preserve">Wastewater: 2024 collection-system overflows/spills</w:t>
            </w:r>
          </w:p>
        </w:tc>
        <w:tc>
          <w:tcPr/>
          <w:p>
            <w:pPr>
              <w:pStyle w:val="Compact"/>
            </w:pPr>
            <w:r>
              <w:t xml:space="preserve">17 incidents, 8 concentrated in one Jul 15-18, 2024 storm event across 8 stations</w:t>
            </w:r>
          </w:p>
        </w:tc>
        <w:tc>
          <w:tcPr/>
          <w:p>
            <w:pPr>
              <w:pStyle w:val="Compact"/>
            </w:pPr>
            <w:r>
              <w:rPr>
                <w:b/>
                <w:bCs/>
              </w:rPr>
              <w:t xml:space="preserve">VERIFIED</w:t>
            </w:r>
          </w:p>
        </w:tc>
        <w:tc>
          <w:tcPr/>
          <w:p>
            <w:pPr>
              <w:pStyle w:val="Compact"/>
            </w:pPr>
            <w:r>
              <w:t xml:space="preserve">City of London, 2024 Annual Performance Report for the Municipal Sewage Collection System</w:t>
            </w:r>
          </w:p>
        </w:tc>
        <w:tc>
          <w:tcPr/>
          <w:p>
            <w:pPr>
              <w:pStyle w:val="Compact"/>
            </w:pPr>
          </w:p>
        </w:tc>
      </w:tr>
      <w:tr>
        <w:tc>
          <w:tcPr/>
          <w:p>
            <w:pPr>
              <w:pStyle w:val="Compact"/>
            </w:pPr>
            <w:r>
              <w:t xml:space="preserve">Roads: % of transportation assets in Fair-to-Very-Good condition; PQI targets</w:t>
            </w:r>
          </w:p>
        </w:tc>
        <w:tc>
          <w:tcPr/>
          <w:p>
            <w:pPr>
              <w:pStyle w:val="Compact"/>
            </w:pPr>
            <w:r>
              <w:t xml:space="preserve">77% Fair-to-Very-Good; PQI targets 55-70</w:t>
            </w:r>
          </w:p>
        </w:tc>
        <w:tc>
          <w:tcPr/>
          <w:p>
            <w:pPr>
              <w:pStyle w:val="Compact"/>
            </w:pPr>
            <w:r>
              <w:rPr>
                <w:b/>
                <w:bCs/>
              </w:rPr>
              <w:t xml:space="preserve">VERIFIED</w:t>
            </w:r>
          </w:p>
        </w:tc>
        <w:tc>
          <w:tcPr/>
          <w:p>
            <w:pPr>
              <w:pStyle w:val="Compact"/>
            </w:pPr>
            <w:r>
              <w:t xml:space="preserve">City of London, 2023 Corporate Asset Management Plan, Transportation section</w:t>
            </w:r>
          </w:p>
        </w:tc>
        <w:tc>
          <w:tcPr/>
          <w:p>
            <w:pPr>
              <w:pStyle w:val="Compact"/>
            </w:pPr>
            <w:r>
              <w:t xml:space="preserve">A suspicious dollar-value column was deliberately excluded (see S5 note).</w:t>
            </w:r>
          </w:p>
        </w:tc>
      </w:tr>
      <w:tr>
        <w:tc>
          <w:tcPr/>
          <w:p>
            <w:pPr>
              <w:pStyle w:val="Compact"/>
            </w:pPr>
            <w:r>
              <w:t xml:space="preserve">Parking: net tax-levy-supported budget, 2024-2027 term</w:t>
            </w:r>
          </w:p>
        </w:tc>
        <w:tc>
          <w:tcPr/>
          <w:p>
            <w:pPr>
              <w:pStyle w:val="Compact"/>
            </w:pPr>
            <w:r>
              <w:t xml:space="preserve">-$3.57M (2024) to -$4.37M (2025); -$12.29M net over the term (23.3 FTE)</w:t>
            </w:r>
          </w:p>
        </w:tc>
        <w:tc>
          <w:tcPr/>
          <w:p>
            <w:pPr>
              <w:pStyle w:val="Compact"/>
            </w:pPr>
            <w:r>
              <w:rPr>
                <w:b/>
                <w:bCs/>
              </w:rPr>
              <w:t xml:space="preserve">VERIFIED</w:t>
            </w:r>
          </w:p>
        </w:tc>
        <w:tc>
          <w:tcPr/>
          <w:p>
            <w:pPr>
              <w:pStyle w:val="Compact"/>
            </w:pPr>
            <w:r>
              <w:t xml:space="preserve">City of London, 2024-2027 Business Plan, '040 Parking'</w:t>
            </w:r>
          </w:p>
        </w:tc>
        <w:tc>
          <w:tcPr/>
          <w:p>
            <w:pPr>
              <w:pStyle w:val="Compact"/>
            </w:pPr>
            <w:r>
              <w:t xml:space="preserve">Negative net cost = net revenue generator. Inverts the original brief's 'revenue leakage' framing for this specific service -- real data showing the opposite of the assumption.</w:t>
            </w:r>
          </w:p>
        </w:tc>
      </w:tr>
      <w:tr>
        <w:tc>
          <w:tcPr/>
          <w:p>
            <w:pPr>
              <w:pStyle w:val="Compact"/>
            </w:pPr>
            <w:r>
              <w:t xml:space="preserve">Recreation: 5-year KPI trend, 2020-2024</w:t>
            </w:r>
          </w:p>
        </w:tc>
        <w:tc>
          <w:tcPr/>
          <w:p>
            <w:pPr>
              <w:pStyle w:val="Compact"/>
            </w:pPr>
            <w:r>
              <w:t xml:space="preserve">Participants 23,077-&gt;98,389; Aquatics 46,813-&gt;206,567; Sport-field hours 4,083-&gt;43,355; Golf rounds 112,000-&gt;125,122; 3M+ total visits; 88% satisfaction</w:t>
            </w:r>
          </w:p>
        </w:tc>
        <w:tc>
          <w:tcPr/>
          <w:p>
            <w:pPr>
              <w:pStyle w:val="Compact"/>
            </w:pPr>
            <w:r>
              <w:rPr>
                <w:b/>
                <w:bCs/>
              </w:rPr>
              <w:t xml:space="preserve">VERIFIED</w:t>
            </w:r>
          </w:p>
        </w:tc>
        <w:tc>
          <w:tcPr/>
          <w:p>
            <w:pPr>
              <w:pStyle w:val="Compact"/>
            </w:pPr>
            <w:r>
              <w:t xml:space="preserve">City of London, Parks and Recreation Master Plan Annual Report, Feb 18 2025</w:t>
            </w:r>
          </w:p>
        </w:tc>
        <w:tc>
          <w:tcPr/>
          <w:p>
            <w:pPr>
              <w:pStyle w:val="Compact"/>
            </w:pPr>
            <w:r>
              <w:t xml:space="preserve">The strongest single service-performance dataset in the edition -- a standalone KPI-native master-plan report, unlike ordinary Business Plans which never contain outcome measures.</w:t>
            </w:r>
          </w:p>
        </w:tc>
      </w:tr>
      <w:tr>
        <w:tc>
          <w:tcPr/>
          <w:p>
            <w:pPr>
              <w:pStyle w:val="Compact"/>
            </w:pPr>
            <w:r>
              <w:t xml:space="preserve">Legal/Risk: accrued WSIB claims liability; pending/threatened litigation contingent liability</w:t>
            </w:r>
          </w:p>
        </w:tc>
        <w:tc>
          <w:tcPr/>
          <w:p>
            <w:pPr>
              <w:pStyle w:val="Compact"/>
            </w:pPr>
            <w:r>
              <w:t xml:space="preserve">$78.3M accrued WSIB liability; $0/nil disclosed pending-litigation contingent liability</w:t>
            </w:r>
          </w:p>
        </w:tc>
        <w:tc>
          <w:tcPr/>
          <w:p>
            <w:pPr>
              <w:pStyle w:val="Compact"/>
            </w:pPr>
            <w:r>
              <w:rPr>
                <w:b/>
                <w:bCs/>
              </w:rPr>
              <w:t xml:space="preserve">VERIFIED</w:t>
            </w:r>
          </w:p>
        </w:tc>
        <w:tc>
          <w:tcPr/>
          <w:p>
            <w:pPr>
              <w:pStyle w:val="Compact"/>
            </w:pPr>
            <w:r>
              <w:t xml:space="preserve">Province of Ontario, 2025 FIR, Schedules 70 and 74C</w:t>
            </w:r>
          </w:p>
        </w:tc>
        <w:tc>
          <w:tcPr/>
          <w:p>
            <w:pPr>
              <w:pStyle w:val="Compact"/>
            </w:pPr>
            <w:r>
              <w:t xml:space="preserve">The $0 litigation figure is caveated explicitly in-report: likely reflects a materiality/non-disclosure convention, not zero actual claims -- especially given the City's own $50K settle-without-Council-approval policy implies routine claims activity.</w:t>
            </w:r>
          </w:p>
        </w:tc>
      </w:tr>
      <w:tr>
        <w:tc>
          <w:tcPr/>
          <w:p>
            <w:pPr>
              <w:pStyle w:val="Compact"/>
            </w:pPr>
            <w:r>
              <w:t xml:space="preserve">Revenue leakage: allowance for uncollectable taxes; formal tax write-offs and tax-sale activity, 2025</w:t>
            </w:r>
          </w:p>
        </w:tc>
        <w:tc>
          <w:tcPr/>
          <w:p>
            <w:pPr>
              <w:pStyle w:val="Compact"/>
            </w:pPr>
            <w:r>
              <w:t xml:space="preserve">$13.5M allowance for uncollectable taxes; $0 formal write-offs; $0 tax-sale/registration activity</w:t>
            </w:r>
          </w:p>
        </w:tc>
        <w:tc>
          <w:tcPr/>
          <w:p>
            <w:pPr>
              <w:pStyle w:val="Compact"/>
            </w:pPr>
            <w:r>
              <w:rPr>
                <w:b/>
                <w:bCs/>
              </w:rPr>
              <w:t xml:space="preserve">VERIFIED</w:t>
            </w:r>
          </w:p>
        </w:tc>
        <w:tc>
          <w:tcPr/>
          <w:p>
            <w:pPr>
              <w:pStyle w:val="Compact"/>
            </w:pPr>
            <w:r>
              <w:t xml:space="preserve">Province of Ontario, 2025 FIR, Schedules 70 and 72B</w:t>
            </w:r>
          </w:p>
        </w:tc>
        <w:tc>
          <w:tcPr/>
          <w:p>
            <w:pPr>
              <w:pStyle w:val="Compact"/>
            </w:pPr>
            <w:r>
              <w:t xml:space="preserve">First real, quantified 'revenue leakage' figures this edition has had beyond the Parking inversion.</w:t>
            </w:r>
          </w:p>
        </w:tc>
      </w:tr>
      <w:tr>
        <w:tc>
          <w:tcPr/>
          <w:p>
            <w:pPr>
              <w:pStyle w:val="Compact"/>
            </w:pPr>
            <w:r>
              <w:t xml:space="preserve">Fleet and ITS: condition and replacement value</w:t>
            </w:r>
          </w:p>
        </w:tc>
        <w:tc>
          <w:tcPr/>
          <w:p>
            <w:pPr>
              <w:pStyle w:val="Compact"/>
            </w:pPr>
            <w:r>
              <w:t xml:space="preserve">Fleet 87% Fair-to-Very-Good (1,361 assets, $70.9M replacement value); ITS $39.7M replacement value; zero identified 10-yr funding gap for either</w:t>
            </w:r>
          </w:p>
        </w:tc>
        <w:tc>
          <w:tcPr/>
          <w:p>
            <w:pPr>
              <w:pStyle w:val="Compact"/>
            </w:pPr>
            <w:r>
              <w:rPr>
                <w:b/>
                <w:bCs/>
              </w:rPr>
              <w:t xml:space="preserve">VERIFIED</w:t>
            </w:r>
          </w:p>
        </w:tc>
        <w:tc>
          <w:tcPr/>
          <w:p>
            <w:pPr>
              <w:pStyle w:val="Compact"/>
            </w:pPr>
            <w:r>
              <w:t xml:space="preserve">City of London, 2023 Corporate Asset Management Plan, S10 (Fleet) and S11 (ITS)</w:t>
            </w:r>
          </w:p>
        </w:tc>
        <w:tc>
          <w:tcPr/>
          <w:p>
            <w:pPr>
              <w:pStyle w:val="Compact"/>
            </w:pPr>
          </w:p>
        </w:tc>
      </w:tr>
      <w:tr>
        <w:tc>
          <w:tcPr/>
          <w:p>
            <w:pPr>
              <w:pStyle w:val="Compact"/>
            </w:pPr>
            <w:r>
              <w:t xml:space="preserve">Economic Development (LEDC): 2024 activity</w:t>
            </w:r>
          </w:p>
        </w:tc>
        <w:tc>
          <w:tcPr/>
          <w:p>
            <w:pPr>
              <w:pStyle w:val="Compact"/>
            </w:pPr>
            <w:r>
              <w:t xml:space="preserve">1,100 jobs added; $190M investment attracted; $27M+ annual property tax generated; 530 companies assisted</w:t>
            </w:r>
          </w:p>
        </w:tc>
        <w:tc>
          <w:tcPr/>
          <w:p>
            <w:pPr>
              <w:pStyle w:val="Compact"/>
            </w:pPr>
            <w:r>
              <w:rPr>
                <w:b/>
                <w:bCs/>
              </w:rPr>
              <w:t xml:space="preserve">VERIFIED</w:t>
            </w:r>
          </w:p>
        </w:tc>
        <w:tc>
          <w:tcPr/>
          <w:p>
            <w:pPr>
              <w:pStyle w:val="Compact"/>
            </w:pPr>
            <w:r>
              <w:t xml:space="preserve">London Economic Development Corporation, own 2024 activity data, activityupdate.ca</w:t>
            </w:r>
          </w:p>
        </w:tc>
        <w:tc>
          <w:tcPr/>
          <w:p>
            <w:pPr>
              <w:pStyle w:val="Compact"/>
            </w:pPr>
            <w:r>
              <w:t xml:space="preserve">Domain (activityupdate.ca) independently verified as LEDC's genuine official platform before use, given an earlier Ottawa/London domain-mixup incident this session.</w:t>
            </w:r>
          </w:p>
        </w:tc>
      </w:tr>
      <w:tr>
        <w:tc>
          <w:tcPr/>
          <w:p>
            <w:pPr>
              <w:pStyle w:val="Compact"/>
            </w:pPr>
            <w:r>
              <w:t xml:space="preserve">9 additional services: budget/FTE scale only (Fleet, ITS, Legal, Risk Mgmt, Realty, Econ Dev, Roadway Planning, Parks/Horticulture, Taxation)</w:t>
            </w:r>
          </w:p>
        </w:tc>
        <w:tc>
          <w:tcPr/>
          <w:p>
            <w:pPr>
              <w:pStyle w:val="Compact"/>
            </w:pPr>
            <w:r>
              <w:t xml:space="preserve">See in-report table</w:t>
            </w:r>
          </w:p>
        </w:tc>
        <w:tc>
          <w:tcPr/>
          <w:p>
            <w:pPr>
              <w:pStyle w:val="Compact"/>
            </w:pPr>
            <w:r>
              <w:rPr>
                <w:b/>
                <w:bCs/>
              </w:rPr>
              <w:t xml:space="preserve">VERIFIED</w:t>
            </w:r>
          </w:p>
        </w:tc>
        <w:tc>
          <w:tcPr/>
          <w:p>
            <w:pPr>
              <w:pStyle w:val="Compact"/>
            </w:pPr>
            <w:r>
              <w:t xml:space="preserve">2024-2027 Business Plans, one PDF per service</w:t>
            </w:r>
          </w:p>
        </w:tc>
        <w:tc>
          <w:tcPr/>
          <w:p>
            <w:pPr>
              <w:pStyle w:val="Compact"/>
            </w:pPr>
            <w:r>
              <w:t xml:space="preserve">Scale data only -- City Business Plans never contain outcome/performance KPIs, confirmed across every service checked this edition.</w:t>
            </w:r>
          </w:p>
        </w:tc>
      </w:tr>
    </w:tbl>
    <w:bookmarkEnd w:id="111"/>
    <w:bookmarkStart w:id="112" w:name="s13-cipgrants"/>
    <w:p>
      <w:pPr>
        <w:pStyle w:val="Heading3"/>
      </w:pPr>
      <w:r>
        <w:t xml:space="preserve">S13 CIP/Grants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2 individually verified CIP approvals</w:t>
            </w:r>
          </w:p>
        </w:tc>
        <w:tc>
          <w:tcPr/>
          <w:p>
            <w:pPr>
              <w:pStyle w:val="Compact"/>
            </w:pPr>
            <w:r>
              <w:t xml:space="preserve">LJM Developments $2,100,000 (Brownfield CIP, 359 Wellington Rd, approved 2025-02-19); Youth Opportunities Unlimited $14,895 (Residential DC Grant, 340 Richmond St, directed 2020-10-27)</w:t>
            </w:r>
          </w:p>
        </w:tc>
        <w:tc>
          <w:tcPr/>
          <w:p>
            <w:pPr>
              <w:pStyle w:val="Compact"/>
            </w:pPr>
            <w:r>
              <w:rPr>
                <w:b/>
                <w:bCs/>
              </w:rPr>
              <w:t xml:space="preserve">VERIFIED</w:t>
            </w:r>
          </w:p>
        </w:tc>
        <w:tc>
          <w:tcPr/>
          <w:p>
            <w:pPr>
              <w:pStyle w:val="Compact"/>
            </w:pPr>
            <w:r>
              <w:t xml:space="preserve">City of London PEC minutes (2025-02-19) and Council minutes (2020-10-27)</w:t>
            </w:r>
          </w:p>
        </w:tc>
        <w:tc>
          <w:tcPr/>
          <w:p>
            <w:pPr>
              <w:pStyle w:val="Compact"/>
            </w:pPr>
            <w:r>
              <w:t xml:space="preserve">Payment status not independently verified for either -- approval only.</w:t>
            </w:r>
          </w:p>
        </w:tc>
      </w:tr>
      <w:tr>
        <w:tc>
          <w:tcPr/>
          <w:p>
            <w:pPr>
              <w:pStyle w:val="Compact"/>
            </w:pPr>
            <w:r>
              <w:t xml:space="preserve">McCormick Villages Inc. CIP lead, ~$13,239</w:t>
            </w:r>
          </w:p>
        </w:tc>
        <w:tc>
          <w:tcPr/>
          <w:p>
            <w:pPr>
              <w:pStyle w:val="Compact"/>
            </w:pPr>
            <w:r>
              <w:t xml:space="preserve">Unverified, not included in the ledger</w:t>
            </w:r>
          </w:p>
        </w:tc>
        <w:tc>
          <w:tcPr/>
          <w:p>
            <w:pPr>
              <w:pStyle w:val="Compact"/>
            </w:pPr>
            <w:r>
              <w:rPr>
                <w:b/>
                <w:bCs/>
              </w:rPr>
              <w:t xml:space="preserve">REQUESTED</w:t>
            </w:r>
          </w:p>
        </w:tc>
        <w:tc>
          <w:tcPr/>
          <w:p>
            <w:pPr>
              <w:pStyle w:val="Compact"/>
            </w:pPr>
            <w:r>
              <w:t xml:space="preserve">n/a</w:t>
            </w:r>
          </w:p>
        </w:tc>
        <w:tc>
          <w:tcPr/>
          <w:p>
            <w:pPr>
              <w:pStyle w:val="Compact"/>
            </w:pPr>
            <w:r>
              <w:t xml:space="preserve">One plausible primary source (a project wordpress page) returned HTTP 403 and was not chased further.</w:t>
            </w:r>
          </w:p>
        </w:tc>
      </w:tr>
      <w:tr>
        <w:tc>
          <w:tcPr/>
          <w:p>
            <w:pPr>
              <w:pStyle w:val="Compact"/>
            </w:pPr>
            <w:r>
              <w:t xml:space="preserve">2025 Community Grants Program, Grassroots/Innovation/Capital stream</w:t>
            </w:r>
          </w:p>
        </w:tc>
        <w:tc>
          <w:tcPr/>
          <w:p>
            <w:pPr>
              <w:pStyle w:val="Compact"/>
            </w:pPr>
            <w:r>
              <w:t xml:space="preserve">$250,000 across 16 named organizations (full list)</w:t>
            </w:r>
          </w:p>
        </w:tc>
        <w:tc>
          <w:tcPr/>
          <w:p>
            <w:pPr>
              <w:pStyle w:val="Compact"/>
            </w:pPr>
            <w:r>
              <w:rPr>
                <w:b/>
                <w:bCs/>
              </w:rPr>
              <w:t xml:space="preserve">VERIFIED</w:t>
            </w:r>
          </w:p>
        </w:tc>
        <w:tc>
          <w:tcPr/>
          <w:p>
            <w:pPr>
              <w:pStyle w:val="Compact"/>
            </w:pPr>
            <w:r>
              <w:t xml:space="preserve">City of London, Community Grants Program allocations page</w:t>
            </w:r>
          </w:p>
        </w:tc>
        <w:tc>
          <w:tcPr/>
          <w:p>
            <w:pPr>
              <w:pStyle w:val="Compact"/>
            </w:pPr>
          </w:p>
        </w:tc>
      </w:tr>
      <w:tr>
        <w:tc>
          <w:tcPr/>
          <w:p>
            <w:pPr>
              <w:pStyle w:val="Compact"/>
            </w:pPr>
            <w:r>
              <w:t xml:space="preserve">Multi-Year Grants (2024-2027) stream</w:t>
            </w:r>
          </w:p>
        </w:tc>
        <w:tc>
          <w:tcPr/>
          <w:p>
            <w:pPr>
              <w:pStyle w:val="Compact"/>
            </w:pPr>
            <w:r>
              <w:t xml:space="preserve">$8,880,000 across 41 named organizations (full list, top 10 shown)</w:t>
            </w:r>
          </w:p>
        </w:tc>
        <w:tc>
          <w:tcPr/>
          <w:p>
            <w:pPr>
              <w:pStyle w:val="Compact"/>
            </w:pPr>
            <w:r>
              <w:rPr>
                <w:b/>
                <w:bCs/>
              </w:rPr>
              <w:t xml:space="preserve">CORRECTED</w:t>
            </w:r>
          </w:p>
        </w:tc>
        <w:tc>
          <w:tcPr/>
          <w:p>
            <w:pPr>
              <w:pStyle w:val="Compact"/>
            </w:pPr>
            <w:r>
              <w:t xml:space="preserve">City of London, Community Grants Program page</w:t>
            </w:r>
          </w:p>
        </w:tc>
        <w:tc>
          <w:tcPr/>
          <w:p>
            <w:pPr>
              <w:pStyle w:val="Compact"/>
            </w:pPr>
            <w:r>
              <w:t xml:space="preserve">This edition previously cited $2.3M for this stream, sourced from a narrower newsroom funding-availability announcement. $8.88M is read directly from the City's own itemized allocations listing and supersedes the earlier figure.</w:t>
            </w:r>
          </w:p>
        </w:tc>
      </w:tr>
      <w:tr>
        <w:tc>
          <w:tcPr/>
          <w:p>
            <w:pPr>
              <w:pStyle w:val="Compact"/>
            </w:pPr>
            <w:r>
              <w:t xml:space="preserve">Neighbourhood Decision Making (NDM) Program VfM Audit</w:t>
            </w:r>
          </w:p>
        </w:tc>
        <w:tc>
          <w:tcPr/>
          <w:p>
            <w:pPr>
              <w:pStyle w:val="Compact"/>
            </w:pPr>
            <w:r>
              <w:t xml:space="preserve">11 observations (Medium/Low, none High), all Management-agreed with action plans</w:t>
            </w:r>
          </w:p>
        </w:tc>
        <w:tc>
          <w:tcPr/>
          <w:p>
            <w:pPr>
              <w:pStyle w:val="Compact"/>
            </w:pPr>
            <w:r>
              <w:rPr>
                <w:b/>
                <w:bCs/>
              </w:rPr>
              <w:t xml:space="preserve">VERIFIED</w:t>
            </w:r>
          </w:p>
        </w:tc>
        <w:tc>
          <w:tcPr/>
          <w:p>
            <w:pPr>
              <w:pStyle w:val="Compact"/>
            </w:pPr>
            <w:r>
              <w:t xml:space="preserve">MNP LLP, NDM Program VfM Audit, Final Report, Feb 6 2023 (full 24-page report)</w:t>
            </w:r>
          </w:p>
        </w:tc>
        <w:tc>
          <w:tcPr/>
          <w:p>
            <w:pPr>
              <w:pStyle w:val="Compact"/>
            </w:pPr>
            <w:r>
              <w:t xml:space="preserve">Most specific finding: a resident was compensated by the City to implement their own winning idea -- audit frames as a guiding-principles gap, not misconduct.</w:t>
            </w:r>
          </w:p>
        </w:tc>
      </w:tr>
      <w:tr>
        <w:tc>
          <w:tcPr/>
          <w:p>
            <w:pPr>
              <w:pStyle w:val="Compact"/>
            </w:pPr>
            <w:r>
              <w:t xml:space="preserve">Full CIP incentive toolkit, for scale</w:t>
            </w:r>
          </w:p>
        </w:tc>
        <w:tc>
          <w:tcPr/>
          <w:p>
            <w:pPr>
              <w:pStyle w:val="Compact"/>
            </w:pPr>
            <w:r>
              <w:t xml:space="preserve">32 individually named incentive programs across 5 citywide + 7 neighbourhood categories; 4 already closed/fully allocated</w:t>
            </w:r>
          </w:p>
        </w:tc>
        <w:tc>
          <w:tcPr/>
          <w:p>
            <w:pPr>
              <w:pStyle w:val="Compact"/>
            </w:pPr>
            <w:r>
              <w:rPr>
                <w:b/>
                <w:bCs/>
              </w:rPr>
              <w:t xml:space="preserve">VERIFIED</w:t>
            </w:r>
          </w:p>
        </w:tc>
        <w:tc>
          <w:tcPr/>
          <w:p>
            <w:pPr>
              <w:pStyle w:val="Compact"/>
            </w:pPr>
            <w:r>
              <w:t xml:space="preserve">City of London, Community Improvement Incentives page, london.ca</w:t>
            </w:r>
          </w:p>
        </w:tc>
        <w:tc>
          <w:tcPr/>
          <w:p>
            <w:pPr>
              <w:pStyle w:val="Compact"/>
            </w:pPr>
            <w:r>
              <w:t xml:space="preserve">No consolidated per-approval ledger across all 32 programs exists -- confirmed by direct check.</w:t>
            </w:r>
          </w:p>
        </w:tc>
      </w:tr>
      <w:tr>
        <w:tc>
          <w:tcPr/>
          <w:p>
            <w:pPr>
              <w:pStyle w:val="Compact"/>
            </w:pPr>
            <w:r>
              <w:t xml:space="preserve">Community Grants Program Metrics Tool (2019) -- nature of the document</w:t>
            </w:r>
          </w:p>
        </w:tc>
        <w:tc>
          <w:tcPr/>
          <w:p>
            <w:pPr>
              <w:pStyle w:val="Compact"/>
            </w:pPr>
            <w:r>
              <w:t xml:space="preserve">A self-report metric-selection menu for grant applicants (~70 pre-written phrasings), not an outcomes database</w:t>
            </w:r>
          </w:p>
        </w:tc>
        <w:tc>
          <w:tcPr/>
          <w:p>
            <w:pPr>
              <w:pStyle w:val="Compact"/>
            </w:pPr>
            <w:r>
              <w:rPr>
                <w:b/>
                <w:bCs/>
              </w:rPr>
              <w:t xml:space="preserve">VERIFIED</w:t>
            </w:r>
          </w:p>
        </w:tc>
        <w:tc>
          <w:tcPr/>
          <w:p>
            <w:pPr>
              <w:pStyle w:val="Compact"/>
            </w:pPr>
            <w:r>
              <w:t xml:space="preserve">City of London, London Community Grants Program Metrics Tool, Apr 29 2019</w:t>
            </w:r>
          </w:p>
        </w:tc>
        <w:tc>
          <w:tcPr/>
          <w:p>
            <w:pPr>
              <w:pStyle w:val="Compact"/>
            </w:pPr>
            <w:r>
              <w:t xml:space="preserve">Explains, rather than closes, the absence of an aggregate audited grants-outcomes ledger: results are self-reported per grantee against self-chosen metrics, not centrally standardized.</w:t>
            </w:r>
          </w:p>
        </w:tc>
      </w:tr>
      <w:tr>
        <w:tc>
          <w:tcPr/>
          <w:p>
            <w:pPr>
              <w:pStyle w:val="Compact"/>
            </w:pPr>
            <w:r>
              <w:t xml:space="preserve">Community Grants Program VfM Audit -- existence and findings</w:t>
            </w:r>
          </w:p>
        </w:tc>
        <w:tc>
          <w:tcPr/>
          <w:p>
            <w:pPr>
              <w:pStyle w:val="Compact"/>
            </w:pPr>
            <w:r>
              <w:t xml:space="preserve">Complete Jun 18 2025; 2 real Medium findings (no documented score-to-funding threshold; strategic overlap with Housing/Homelessness funding streams)</w:t>
            </w:r>
          </w:p>
        </w:tc>
        <w:tc>
          <w:tcPr/>
          <w:p>
            <w:pPr>
              <w:pStyle w:val="Compact"/>
            </w:pPr>
            <w:r>
              <w:rPr>
                <w:b/>
                <w:bCs/>
              </w:rPr>
              <w:t xml:space="preserve">CORRECTED</w:t>
            </w:r>
          </w:p>
        </w:tc>
        <w:tc>
          <w:tcPr/>
          <w:p>
            <w:pPr>
              <w:pStyle w:val="Compact"/>
            </w:pPr>
            <w:r>
              <w:t xml:space="preserve">MNP LLP Internal Audit Follow Up Activities Dashboard, Sept 10 2025</w:t>
            </w:r>
          </w:p>
        </w:tc>
        <w:tc>
          <w:tcPr/>
          <w:p>
            <w:pPr>
              <w:pStyle w:val="Compact"/>
            </w:pPr>
            <w:r>
              <w:t xml:space="preserve">This edition previously stated a Community Grants Program audit did not exist. It does -- found this session via the City's real Internal Audit Plan. Full report itself not retrieved; findings sourced via the quarterly follow-up dashboard.</w:t>
            </w:r>
          </w:p>
        </w:tc>
      </w:tr>
      <w:tr>
        <w:tc>
          <w:tcPr/>
          <w:p>
            <w:pPr>
              <w:pStyle w:val="Compact"/>
            </w:pPr>
            <w:r>
              <w:t xml:space="preserve">Community Improvement Plans Audit -- existence and findings</w:t>
            </w:r>
          </w:p>
        </w:tc>
        <w:tc>
          <w:tcPr/>
          <w:p>
            <w:pPr>
              <w:pStyle w:val="Compact"/>
            </w:pPr>
            <w:r>
              <w:t xml:space="preserve">Complete Feb 12 2026; 5 observations (4 Medium, 1 Low), scoped to Downtown and Industrial Lands CIPs specifically</w:t>
            </w:r>
          </w:p>
        </w:tc>
        <w:tc>
          <w:tcPr/>
          <w:p>
            <w:pPr>
              <w:pStyle w:val="Compact"/>
            </w:pPr>
            <w:r>
              <w:rPr>
                <w:b/>
                <w:bCs/>
              </w:rPr>
              <w:t xml:space="preserve">CORRECTED</w:t>
            </w:r>
          </w:p>
        </w:tc>
        <w:tc>
          <w:tcPr/>
          <w:p>
            <w:pPr>
              <w:pStyle w:val="Compact"/>
            </w:pPr>
            <w:r>
              <w:t xml:space="preserve">MNP LLP, Community Improvement Plans Audit, Final Report, Feb 12 2026 (full 16-page report)</w:t>
            </w:r>
          </w:p>
        </w:tc>
        <w:tc>
          <w:tcPr/>
          <w:p>
            <w:pPr>
              <w:pStyle w:val="Compact"/>
            </w:pPr>
            <w:r>
              <w:t xml:space="preserve">This edition previously called CIPs 'only a potential future audit topic, not a completed one.' Wrong -- corrected this session. Headline finding: Industrial Lands CIP's DC rebate has NO funding cap; Downtown CIP definitions 'still reference objectives from 1996.'</w:t>
            </w:r>
          </w:p>
        </w:tc>
      </w:tr>
      <w:tr>
        <w:tc>
          <w:tcPr/>
          <w:p>
            <w:pPr>
              <w:pStyle w:val="Compact"/>
            </w:pPr>
            <w:r>
              <w:t xml:space="preserve">Full Internal Audit Plan roster, 2025-2026</w:t>
            </w:r>
          </w:p>
        </w:tc>
        <w:tc>
          <w:tcPr/>
          <w:p>
            <w:pPr>
              <w:pStyle w:val="Compact"/>
            </w:pPr>
            <w:r>
              <w:t xml:space="preserve">9 named audits: 3 Complete (Safe London for Women/Girls, Community Grants, CIP) + Housing/Homelessness (Complete+Supplemental) + 2 Complete-but-unretrieved (ARAO, Performance Measurement) + 2 Scoping (Climate Emergency Action Plan, Subdivision Review) + 2 Planned (Continuous Improvement, Privacy); plus 2 earlier-cycle audits found separately (Vendor Risk Management, Housing Development Lessons Learned)</w:t>
            </w:r>
          </w:p>
        </w:tc>
        <w:tc>
          <w:tcPr/>
          <w:p>
            <w:pPr>
              <w:pStyle w:val="Compact"/>
            </w:pPr>
            <w:r>
              <w:rPr>
                <w:b/>
                <w:bCs/>
              </w:rPr>
              <w:t xml:space="preserve">VERIFIED</w:t>
            </w:r>
          </w:p>
        </w:tc>
        <w:tc>
          <w:tcPr/>
          <w:p>
            <w:pPr>
              <w:pStyle w:val="Compact"/>
            </w:pPr>
            <w:r>
              <w:t xml:space="preserve">MNP LLP 'Summary Update from Internal Audit' memos, Sept 10 2025 and Feb 25 2026</w:t>
            </w:r>
          </w:p>
        </w:tc>
        <w:tc>
          <w:tcPr/>
          <w:p>
            <w:pPr>
              <w:pStyle w:val="Compact"/>
            </w:pPr>
            <w:r>
              <w:t xml:space="preserve">The master document that corrected both 'not found' errors above -- found by retrieving full Audit Committee meeting packages directly.</w:t>
            </w:r>
          </w:p>
        </w:tc>
      </w:tr>
    </w:tbl>
    <w:bookmarkEnd w:id="112"/>
    <w:bookmarkStart w:id="113" w:name="s14-housinghomelessness"/>
    <w:p>
      <w:pPr>
        <w:pStyle w:val="Heading3"/>
      </w:pPr>
      <w:r>
        <w:t xml:space="preserve">S14 Housing/Homelessness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Stevenson letter: per-bed monthly cost, Atlohsa vs Y.O.U., and 2023 total Hub-model investment</w:t>
            </w:r>
          </w:p>
        </w:tc>
        <w:tc>
          <w:tcPr/>
          <w:p>
            <w:pPr>
              <w:pStyle w:val="Compact"/>
            </w:pPr>
            <w:r>
              <w:t xml:space="preserve">Atlohsa $6,304/bed/month; Y.O.U. $11,021/bed/month (2nd yr); $11,964,892 total 2023 investment for 15 net-new beds</w:t>
            </w:r>
          </w:p>
        </w:tc>
        <w:tc>
          <w:tcPr/>
          <w:p>
            <w:pPr>
              <w:pStyle w:val="Compact"/>
            </w:pPr>
            <w:r>
              <w:rPr>
                <w:b/>
                <w:bCs/>
              </w:rPr>
              <w:t xml:space="preserve">VERIFIED</w:t>
            </w:r>
          </w:p>
        </w:tc>
        <w:tc>
          <w:tcPr/>
          <w:p>
            <w:pPr>
              <w:pStyle w:val="Compact"/>
            </w:pPr>
            <w:r>
              <w:t xml:space="preserve">Susan Stevenson, letter to City of London Audit Committee, Sept 8 2025</w:t>
            </w:r>
          </w:p>
        </w:tc>
        <w:tc>
          <w:tcPr/>
          <w:p>
            <w:pPr>
              <w:pStyle w:val="Compact"/>
            </w:pPr>
            <w:r>
              <w:t xml:space="preserve">A sitting committee member's dissenting letter, quoted directly -- her arithmetic and framing, not independently re-derived.</w:t>
            </w:r>
          </w:p>
        </w:tc>
      </w:tr>
      <w:tr>
        <w:tc>
          <w:tcPr/>
          <w:p>
            <w:pPr>
              <w:pStyle w:val="Compact"/>
            </w:pPr>
            <w:r>
              <w:t xml:space="preserve">MNP Housing/Homelessness VfM Audit: Hub-implementation status and observations</w:t>
            </w:r>
          </w:p>
        </w:tc>
        <w:tc>
          <w:tcPr/>
          <w:p>
            <w:pPr>
              <w:pStyle w:val="Compact"/>
            </w:pPr>
            <w:r>
              <w:t xml:space="preserve">Only 2 of 5 planned Hubs operational (target was May 2024), 15+ months late; 3 observations (2 Medium, 1 Low, none High), all Management-agreed</w:t>
            </w:r>
          </w:p>
        </w:tc>
        <w:tc>
          <w:tcPr/>
          <w:p>
            <w:pPr>
              <w:pStyle w:val="Compact"/>
            </w:pPr>
            <w:r>
              <w:rPr>
                <w:b/>
                <w:bCs/>
              </w:rPr>
              <w:t xml:space="preserve">VERIFIED</w:t>
            </w:r>
          </w:p>
        </w:tc>
        <w:tc>
          <w:tcPr/>
          <w:p>
            <w:pPr>
              <w:pStyle w:val="Compact"/>
            </w:pPr>
            <w:r>
              <w:t xml:space="preserve">MNP LLP, Housing and Homelessness VfM Audit, Final Report, Aug 28 2025 (full 17-page report)</w:t>
            </w:r>
          </w:p>
        </w:tc>
        <w:tc>
          <w:tcPr/>
          <w:p>
            <w:pPr>
              <w:pStyle w:val="Compact"/>
            </w:pPr>
            <w:r>
              <w:t xml:space="preserve">Found this session -- previously this edition had only Stevenson's letter characterizing the audit, not the audit itself.</w:t>
            </w:r>
          </w:p>
        </w:tc>
      </w:tr>
      <w:tr>
        <w:tc>
          <w:tcPr/>
          <w:p>
            <w:pPr>
              <w:pStyle w:val="Compact"/>
            </w:pPr>
            <w:r>
              <w:t xml:space="preserve">'100+ served, 40+ into stable housing' outcome figure -- correct attribution</w:t>
            </w:r>
          </w:p>
        </w:tc>
        <w:tc>
          <w:tcPr/>
          <w:p>
            <w:pPr>
              <w:pStyle w:val="Compact"/>
            </w:pPr>
            <w:r>
              <w:t xml:space="preserve">Sourced by MNP to a separate Health &amp; Homelessness Whole of Community System Response Research and Evaluation Report, Sept 2025</w:t>
            </w:r>
          </w:p>
        </w:tc>
        <w:tc>
          <w:tcPr/>
          <w:p>
            <w:pPr>
              <w:pStyle w:val="Compact"/>
            </w:pPr>
            <w:r>
              <w:rPr>
                <w:b/>
                <w:bCs/>
              </w:rPr>
              <w:t xml:space="preserve">VERIFIED</w:t>
            </w:r>
          </w:p>
        </w:tc>
        <w:tc>
          <w:tcPr/>
          <w:p>
            <w:pPr>
              <w:pStyle w:val="Compact"/>
            </w:pPr>
            <w:r>
              <w:t xml:space="preserve">MNP audit's own citation, cross-confirmed in the Feb 2026 supplemental report</w:t>
            </w:r>
          </w:p>
        </w:tc>
        <w:tc>
          <w:tcPr/>
          <w:p>
            <w:pPr>
              <w:pStyle w:val="Compact"/>
            </w:pPr>
            <w:r>
              <w:t xml:space="preserve">Previously taken on Stevenson's secondhand citation alone; now correctly attributed to its actual underlying source document.</w:t>
            </w:r>
          </w:p>
        </w:tc>
      </w:tr>
      <w:tr>
        <w:tc>
          <w:tcPr/>
          <w:p>
            <w:pPr>
              <w:pStyle w:val="Compact"/>
            </w:pPr>
            <w:r>
              <w:t xml:space="preserve">Feb 2026 supplemental report: real per-bed-per-day costs and actual-vs-budget spend</w:t>
            </w:r>
          </w:p>
        </w:tc>
        <w:tc>
          <w:tcPr/>
          <w:p>
            <w:pPr>
              <w:pStyle w:val="Compact"/>
            </w:pPr>
            <w:r>
              <w:t xml:space="preserve">Atlohsa $207.25/bed/day ($4,248,275 actual vs $4,236,292 budget); YOU $362.34/bed/day ($2,979,974 actual vs $3,301,300 budget); shelters $120.93/bed/day for comparison</w:t>
            </w:r>
          </w:p>
        </w:tc>
        <w:tc>
          <w:tcPr/>
          <w:p>
            <w:pPr>
              <w:pStyle w:val="Compact"/>
            </w:pPr>
            <w:r>
              <w:rPr>
                <w:b/>
                <w:bCs/>
              </w:rPr>
              <w:t xml:space="preserve">VERIFIED</w:t>
            </w:r>
          </w:p>
        </w:tc>
        <w:tc>
          <w:tcPr/>
          <w:p>
            <w:pPr>
              <w:pStyle w:val="Compact"/>
            </w:pPr>
            <w:r>
              <w:t xml:space="preserve">MNP LLP, Housing and Homelessness VFM Audit Supplemental Report, Feb 25 2026, per Council resolution Dec 17 2025</w:t>
            </w:r>
          </w:p>
        </w:tc>
        <w:tc>
          <w:tcPr/>
          <w:p>
            <w:pPr>
              <w:pStyle w:val="Compact"/>
            </w:pPr>
            <w:r>
              <w:t xml:space="preserve">Found this session. Per-bed-day figures independently cross-validate Stevenson's monthly figures almost exactly ($6,304/30=$210 vs $207.25; $11,021/30=$367 vs $362.34).</w:t>
            </w:r>
          </w:p>
        </w:tc>
      </w:tr>
      <w:tr>
        <w:tc>
          <w:tcPr/>
          <w:p>
            <w:pPr>
              <w:pStyle w:val="Compact"/>
            </w:pPr>
            <w:r>
              <w:t xml:space="preserve">Supplemental report outcome case: one resident's ED visits, year-over-year</w:t>
            </w:r>
          </w:p>
        </w:tc>
        <w:tc>
          <w:tcPr/>
          <w:p>
            <w:pPr>
              <w:pStyle w:val="Compact"/>
            </w:pPr>
            <w:r>
              <w:t xml:space="preserve">221 -&gt; 9 visits</w:t>
            </w:r>
          </w:p>
        </w:tc>
        <w:tc>
          <w:tcPr/>
          <w:p>
            <w:pPr>
              <w:pStyle w:val="Compact"/>
            </w:pPr>
            <w:r>
              <w:rPr>
                <w:b/>
                <w:bCs/>
              </w:rPr>
              <w:t xml:space="preserve">VERIFIED</w:t>
            </w:r>
          </w:p>
        </w:tc>
        <w:tc>
          <w:tcPr/>
          <w:p>
            <w:pPr>
              <w:pStyle w:val="Compact"/>
            </w:pPr>
            <w:r>
              <w:t xml:space="preserve">Same supplemental report, citing the Sept 2025 evaluation report</w:t>
            </w:r>
          </w:p>
        </w:tc>
        <w:tc>
          <w:tcPr/>
          <w:p>
            <w:pPr>
              <w:pStyle w:val="Compact"/>
            </w:pPr>
            <w:r>
              <w:t xml:space="preserve">A single named-anonymous case example, not a program-wide average -- presented as such.</w:t>
            </w:r>
          </w:p>
        </w:tc>
      </w:tr>
    </w:tbl>
    <w:bookmarkEnd w:id="113"/>
    <w:bookmarkStart w:id="114" w:name="s21-methodology"/>
    <w:p>
      <w:pPr>
        <w:pStyle w:val="Heading3"/>
      </w:pPr>
      <w:r>
        <w:t xml:space="preserve">S21 Methodology</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Claim</w:t>
            </w:r>
          </w:p>
        </w:tc>
        <w:tc>
          <w:tcPr/>
          <w:p>
            <w:pPr>
              <w:pStyle w:val="Compact"/>
              <w:jc w:val="left"/>
            </w:pPr>
            <w:r>
              <w:t xml:space="preserve">Value / Figure</w:t>
            </w:r>
          </w:p>
        </w:tc>
        <w:tc>
          <w:tcPr/>
          <w:p>
            <w:pPr>
              <w:pStyle w:val="Compact"/>
              <w:jc w:val="left"/>
            </w:pPr>
            <w:r>
              <w:t xml:space="preserve">Status</w:t>
            </w:r>
          </w:p>
        </w:tc>
        <w:tc>
          <w:tcPr/>
          <w:p>
            <w:pPr>
              <w:pStyle w:val="Compact"/>
              <w:jc w:val="left"/>
            </w:pPr>
            <w:r>
              <w:t xml:space="preserve">Source</w:t>
            </w:r>
          </w:p>
        </w:tc>
        <w:tc>
          <w:tcPr/>
          <w:p>
            <w:pPr>
              <w:pStyle w:val="Compact"/>
              <w:jc w:val="left"/>
            </w:pPr>
            <w:r>
              <w:t xml:space="preserve">Note</w:t>
            </w:r>
          </w:p>
        </w:tc>
      </w:tr>
      <w:tr>
        <w:tc>
          <w:tcPr/>
          <w:p>
            <w:pPr>
              <w:pStyle w:val="Compact"/>
            </w:pPr>
            <w:r>
              <w:t xml:space="preserve">Procurement pipeline record counts by processing stage</w:t>
            </w:r>
          </w:p>
        </w:tc>
        <w:tc>
          <w:tcPr/>
          <w:p>
            <w:pPr>
              <w:pStyle w:val="Compact"/>
            </w:pPr>
            <w:r>
              <w:t xml:space="preserve">See in-report table (raw scrape -&gt; parsed -&gt; clean records -&gt; screening flags)</w:t>
            </w:r>
          </w:p>
        </w:tc>
        <w:tc>
          <w:tcPr/>
          <w:p>
            <w:pPr>
              <w:pStyle w:val="Compact"/>
            </w:pPr>
            <w:r>
              <w:rPr>
                <w:b/>
                <w:bCs/>
              </w:rPr>
              <w:t xml:space="preserve">VERIFIED</w:t>
            </w:r>
          </w:p>
        </w:tc>
        <w:tc>
          <w:tcPr/>
          <w:p>
            <w:pPr>
              <w:pStyle w:val="Compact"/>
            </w:pPr>
            <w:r>
              <w:t xml:space="preserve">This review's own reproduce.py pipeline, rerun this session</w:t>
            </w:r>
          </w:p>
        </w:tc>
        <w:tc>
          <w:tcPr/>
          <w:p>
            <w:pPr>
              <w:pStyle w:val="Compact"/>
            </w:pPr>
            <w:r>
              <w:t xml:space="preserve">Every headline figure independently reproducible by rerunning reproduce.py against clean_award_records.csv.</w:t>
            </w:r>
          </w:p>
        </w:tc>
      </w:tr>
    </w:tbl>
    <w:bookmarkEnd w:id="114"/>
    <w:bookmarkEnd w:id="115"/>
    <w:bookmarkStart w:id="116" w:name="what-this-register-does-not-cover"/>
    <w:p>
      <w:pPr>
        <w:pStyle w:val="Heading2"/>
      </w:pPr>
      <w:r>
        <w:t xml:space="preserve">What this register does not cover</w:t>
      </w:r>
    </w:p>
    <w:p>
      <w:pPr>
        <w:pStyle w:val="FirstParagraph"/>
      </w:pPr>
      <w:r>
        <w:t xml:space="preserve">Recommendations, methodology descriptions, wording-guidance rules, and the source register itself (S20, already a disposition list of 33 sources by design) are not re-logged as claims here. Two items remain genuinely open regardless of this register's completion: the underlying MNP audit reports for three named internal audits (Creating a Safe London for Women and Girls, Anti-Racism Anti-Oppression, Performance Measurement) are confirmed to exist and be complete, but were not retrieved this session -- their findings are not yet logged anywhere in this edition.</w:t>
      </w:r>
    </w:p>
    <w:bookmarkEnd w:id="116"/>
    <w:bookmarkEnd w:id="117"/>
    <w:bookmarkStart w:id="118" w:name="appendix-b"/>
    <w:p>
      <w:pPr>
        <w:pStyle w:val="Heading1"/>
      </w:pPr>
      <w:r>
        <w:t xml:space="preserve">Appendix B</w:t>
      </w:r>
    </w:p>
    <w:bookmarkEnd w:id="118"/>
    <w:bookmarkStart w:id="127" w:name="Xe0a0647bfb463535fd2936456937c2c0bc80b86"/>
    <w:p>
      <w:pPr>
        <w:pStyle w:val="Heading1"/>
      </w:pPr>
      <w:r>
        <w:t xml:space="preserve">Briefing Note: Outreach to Councillor Susan Stevenson</w:t>
      </w:r>
    </w:p>
    <w:p>
      <w:pPr>
        <w:pStyle w:val="FirstParagraph"/>
      </w:pPr>
      <w:r>
        <w:rPr>
          <w:i/>
          <w:iCs/>
        </w:rPr>
        <w:t xml:space="preserve">Prepared in connection with the City of London Public-Records Ledger — Verified Edition 3.0</w:t>
      </w:r>
      <w:r>
        <w:br/>
      </w:r>
      <w:r>
        <w:t xml:space="preserve">Prepared by Raj Gandhi, independent civic-records researcher · 2026-08-20</w:t>
      </w:r>
    </w:p>
    <w:bookmarkStart w:id="119" w:name="purpose-of-this-note"/>
    <w:p>
      <w:pPr>
        <w:pStyle w:val="Heading2"/>
      </w:pPr>
      <w:r>
        <w:t xml:space="preserve">Purpose of this note</w:t>
      </w:r>
    </w:p>
    <w:p>
      <w:pPr>
        <w:pStyle w:val="FirstParagraph"/>
      </w:pPr>
      <w:r>
        <w:t xml:space="preserve">This is preparation material for a possible outreach conversation with Councillor Susan Stevenson, not a record of one that has occurred. Every fact below is sourced to a public document — her own letter, or a City meeting record — and is cited so it can be checked independently before any contact is made. Nothing here assumes her agreement, availability, or position beyond what she has already put on the public record.</w:t>
      </w:r>
    </w:p>
    <w:bookmarkEnd w:id="119"/>
    <w:bookmarkStart w:id="120" w:name="who-this-is-about"/>
    <w:p>
      <w:pPr>
        <w:pStyle w:val="Heading2"/>
      </w:pPr>
      <w:r>
        <w:t xml:space="preserve">Who this is about</w:t>
      </w:r>
    </w:p>
    <w:p>
      <w:pPr>
        <w:pStyle w:val="FirstParagraph"/>
      </w:pPr>
      <w:r>
        <w:t xml:space="preserve">Susan Stevenson is a City of London Audit Committee member. On</w:t>
      </w:r>
      <w:r>
        <w:t xml:space="preserve"> </w:t>
      </w:r>
      <w:r>
        <w:rPr>
          <w:b/>
          <w:bCs/>
        </w:rPr>
        <w:t xml:space="preserve">September 8, 2025</w:t>
      </w:r>
      <w:r>
        <w:t xml:space="preserve">, she filed a formal written dissent with the Audit Committee, declining to vote to receive the Internal Auditor's Housing and Homelessness Value for Money ("VfM") Audit of the City's homelessness "Hubs" program. That letter is a public document (pub-london.escribemeetings.com, DocumentId=118758) and is this review's primary source for her position — nothing attributed to her here goes beyond what her letter itself states.</w:t>
      </w:r>
    </w:p>
    <w:bookmarkEnd w:id="120"/>
    <w:bookmarkStart w:id="121" w:name="X59827657791c6dd0bc589e8252784c6564caa21"/>
    <w:p>
      <w:pPr>
        <w:pStyle w:val="Heading2"/>
      </w:pPr>
      <w:r>
        <w:t xml:space="preserve">Timeline of the record, as this review has verified it</w:t>
      </w:r>
    </w:p>
    <w:p>
      <w:pPr>
        <w:pStyle w:val="Compact"/>
        <w:numPr>
          <w:ilvl w:val="0"/>
          <w:numId w:val="1009"/>
        </w:numPr>
      </w:pPr>
      <w:r>
        <w:rPr>
          <w:b/>
          <w:bCs/>
        </w:rPr>
        <w:t xml:space="preserve">August 28, 2025</w:t>
      </w:r>
      <w:r>
        <w:t xml:space="preserve"> </w:t>
      </w:r>
      <w:r>
        <w:t xml:space="preserve">— MNP LLP (the City's outsourced Internal Auditor) delivers the Housing and Homelessness VfM Audit, Final Report, to the City.</w:t>
      </w:r>
    </w:p>
    <w:p>
      <w:pPr>
        <w:pStyle w:val="Compact"/>
        <w:numPr>
          <w:ilvl w:val="0"/>
          <w:numId w:val="1009"/>
        </w:numPr>
      </w:pPr>
      <w:r>
        <w:rPr>
          <w:b/>
          <w:bCs/>
        </w:rPr>
        <w:t xml:space="preserve">September 8, 2025</w:t>
      </w:r>
      <w:r>
        <w:t xml:space="preserve"> </w:t>
      </w:r>
      <w:r>
        <w:t xml:space="preserve">— Stevenson files her written dissent, two days ahead of the meeting where the audit was presented.</w:t>
      </w:r>
    </w:p>
    <w:p>
      <w:pPr>
        <w:pStyle w:val="Compact"/>
        <w:numPr>
          <w:ilvl w:val="0"/>
          <w:numId w:val="1009"/>
        </w:numPr>
      </w:pPr>
      <w:r>
        <w:rPr>
          <w:b/>
          <w:bCs/>
        </w:rPr>
        <w:t xml:space="preserve">September 10, 2025</w:t>
      </w:r>
      <w:r>
        <w:t xml:space="preserve"> </w:t>
      </w:r>
      <w:r>
        <w:t xml:space="preserve">— The audit is presented to the 3rd Meeting of the Audit Committee.</w:t>
      </w:r>
    </w:p>
    <w:p>
      <w:pPr>
        <w:pStyle w:val="Compact"/>
        <w:numPr>
          <w:ilvl w:val="0"/>
          <w:numId w:val="1009"/>
        </w:numPr>
      </w:pPr>
      <w:r>
        <w:rPr>
          <w:b/>
          <w:bCs/>
        </w:rPr>
        <w:t xml:space="preserve">December 17, 2025</w:t>
      </w:r>
      <w:r>
        <w:t xml:space="preserve"> </w:t>
      </w:r>
      <w:r>
        <w:t xml:space="preserve">— Council resolves to direct Internal Audit to produce a supplementary report on the Housing and Homelessness audit, specifically requesting (a) a cost-benefit analysis of operating and administrative expenses, (b) clarification of where additional Hub costs are allocated, and (c) an explanation of how incremental Hub costs support intended outcomes.</w:t>
      </w:r>
    </w:p>
    <w:p>
      <w:pPr>
        <w:pStyle w:val="Compact"/>
        <w:numPr>
          <w:ilvl w:val="0"/>
          <w:numId w:val="1009"/>
        </w:numPr>
      </w:pPr>
      <w:r>
        <w:rPr>
          <w:b/>
          <w:bCs/>
        </w:rPr>
        <w:t xml:space="preserve">February 25, 2026</w:t>
      </w:r>
      <w:r>
        <w:t xml:space="preserve"> </w:t>
      </w:r>
      <w:r>
        <w:t xml:space="preserve">— MNP delivers the supplemental report to the Audit Committee, containing real per-bed-day costs, actual-vs-budget expenditures, and outcome evidence.</w:t>
      </w:r>
    </w:p>
    <w:p>
      <w:pPr>
        <w:pStyle w:val="FirstParagraph"/>
      </w:pPr>
      <w:r>
        <w:rPr>
          <w:b/>
          <w:bCs/>
        </w:rPr>
        <w:t xml:space="preserve">Not yet established from the public record:</w:t>
      </w:r>
      <w:r>
        <w:t xml:space="preserve"> </w:t>
      </w:r>
      <w:r>
        <w:t xml:space="preserve">whether the December 17, 2025 resolution was moved in direct response to Stevenson's September letter, prompted independently by other Council members, or some combination. The resolution text itself (not yet retrieved by this review) may settle this, or may not name a specific origin. This is one of the more valuable things Stevenson herself — or the resolution's mover, if different — could speak to directly.</w:t>
      </w:r>
    </w:p>
    <w:bookmarkEnd w:id="121"/>
    <w:bookmarkStart w:id="122" w:name="Xdb4fa4a1694ca6c6913a5659a99db06f56f94d6"/>
    <w:p>
      <w:pPr>
        <w:pStyle w:val="Heading2"/>
      </w:pPr>
      <w:r>
        <w:t xml:space="preserve">What Stevenson's letter says, in her own words</w:t>
      </w:r>
    </w:p>
    <w:p>
      <w:pPr>
        <w:pStyle w:val="FirstParagraph"/>
      </w:pPr>
      <w:r>
        <w:t xml:space="preserve">Three passages from her September 8, 2025 letter, quoted directly:</w:t>
      </w:r>
    </w:p>
    <w:p>
      <w:pPr>
        <w:pStyle w:val="BlockText"/>
      </w:pPr>
      <w:r>
        <w:t xml:space="preserve">"Council is unable to evaluate the performance of any of the Hubs with this limited information. Council also does not know what the projected outcomes were when the Hub proposals were presented for consideration. […] There are many unanswered questions after the 2023 investment of almost $12M."</w:t>
      </w:r>
    </w:p>
    <w:p>
      <w:pPr>
        <w:pStyle w:val="BlockText"/>
      </w:pPr>
      <w:r>
        <w:t xml:space="preserve">"I do not feel that we have received value for money from this audit."</w:t>
      </w:r>
    </w:p>
    <w:p>
      <w:pPr>
        <w:pStyle w:val="FirstParagraph"/>
      </w:pPr>
      <w:r>
        <w:t xml:space="preserve">Her letter also calculates that, at the Atlohsa location specifically, the Hub-model contract costs 3.4 times what the City paid under the prior Winter Response contract for the same 28 beds, and that of the $11,964,892 invested in the 2023 Hub model, only 15 beds were net-new (Atlohsa's 28 existed already under the prior contract). She separately notes that London contracts an outsourced Internal Auditor rather than maintaining an Auditor General function, unlike Hamilton or Ottawa.</w:t>
      </w:r>
    </w:p>
    <w:bookmarkEnd w:id="122"/>
    <w:bookmarkStart w:id="123" w:name="X6dfa6141857c1dbb304d17094cb21a7896ccc30"/>
    <w:p>
      <w:pPr>
        <w:pStyle w:val="Heading2"/>
      </w:pPr>
      <w:r>
        <w:t xml:space="preserve">What this review found since her letter — the part she may not have connected together yet</w:t>
      </w:r>
    </w:p>
    <w:p>
      <w:pPr>
        <w:pStyle w:val="FirstParagraph"/>
      </w:pPr>
      <w:r>
        <w:t xml:space="preserve">This is the most substantive news this briefing carries: independent of Stevenson's own advocacy (or possibly because of it — unconfirmed), the City's Internal Auditor delivered exactly the kind of cost-benefit analysis her letter said was missing, five months later.</w:t>
      </w:r>
    </w:p>
    <w:p>
      <w:pPr>
        <w:pStyle w:val="Compact"/>
        <w:numPr>
          <w:ilvl w:val="0"/>
          <w:numId w:val="1010"/>
        </w:numPr>
      </w:pPr>
      <w:r>
        <w:t xml:space="preserve">The February 2026 supplemental report gives real, itemized per-bed-per-day costs:</w:t>
      </w:r>
      <w:r>
        <w:t xml:space="preserve"> </w:t>
      </w:r>
      <w:r>
        <w:rPr>
          <w:b/>
          <w:bCs/>
        </w:rPr>
        <w:t xml:space="preserve">Atlohsa $207.25/day, Y.O.U. $362.34/day</w:t>
      </w:r>
      <w:r>
        <w:t xml:space="preserve">, against a short-term-shelter comparison of $120.93/day. Converted to a monthly basis, these numbers are close to, and independently consistent with, the monthly figures in Stevenson's own September letter ($6,304/month and $11,021/month respectively) — two different documents, five months apart, arriving at essentially the same cost picture through different arithmetic.</w:t>
      </w:r>
    </w:p>
    <w:p>
      <w:pPr>
        <w:pStyle w:val="Compact"/>
        <w:numPr>
          <w:ilvl w:val="0"/>
          <w:numId w:val="1010"/>
        </w:numPr>
      </w:pPr>
      <w:r>
        <w:t xml:space="preserve">It gives real actual-vs-budget spending for both Hubs across December 2023–December 2025: Y.O.U. ran under budget ($2,979,974 vs $3,301,300); Atlohsa ran essentially on budget ($4,248,275 vs $4,236,292).</w:t>
      </w:r>
    </w:p>
    <w:p>
      <w:pPr>
        <w:pStyle w:val="Compact"/>
        <w:numPr>
          <w:ilvl w:val="0"/>
          <w:numId w:val="1010"/>
        </w:numPr>
      </w:pPr>
      <w:r>
        <w:t xml:space="preserve">It cites a specific outcome case — one resident's emergency-department visits falling from 221 to 9 year-over-year after a Highly Supportive Housing placement — and a national research benchmark (Housing First research showing ~69% of wrap-around costs offset by reduced shelter/health/justice-system use).</w:t>
      </w:r>
    </w:p>
    <w:p>
      <w:pPr>
        <w:pStyle w:val="FirstParagraph"/>
      </w:pPr>
      <w:r>
        <w:t xml:space="preserve">This review reads the supplemental report as a genuine, substantive response to the specific gap Stevenson identified — not a rebuttal of her critique, and not proof her broader concerns (e.g., about the original audit's transparency, or the Hubs' true cost-effectiveness case) are fully resolved. Whether</w:t>
      </w:r>
      <w:r>
        <w:t xml:space="preserve"> </w:t>
      </w:r>
      <w:r>
        <w:rPr>
          <w:i/>
          <w:iCs/>
        </w:rPr>
        <w:t xml:space="preserve">she</w:t>
      </w:r>
      <w:r>
        <w:t xml:space="preserve"> </w:t>
      </w:r>
      <w:r>
        <w:t xml:space="preserve">considers it a satisfactory answer is unknown and is the single most valuable question this outreach could ask.</w:t>
      </w:r>
    </w:p>
    <w:bookmarkEnd w:id="123"/>
    <w:bookmarkStart w:id="124" w:name="open-questions-worth-asking-her-directly"/>
    <w:p>
      <w:pPr>
        <w:pStyle w:val="Heading2"/>
      </w:pPr>
      <w:r>
        <w:t xml:space="preserve">Open questions worth asking her directly</w:t>
      </w:r>
    </w:p>
    <w:p>
      <w:pPr>
        <w:pStyle w:val="Compact"/>
        <w:numPr>
          <w:ilvl w:val="0"/>
          <w:numId w:val="1011"/>
        </w:numPr>
      </w:pPr>
      <w:r>
        <w:t xml:space="preserve">Does the February 2026 supplemental report answer the concerns in your September 2025 letter? If not, specifically what remains unaddressed?</w:t>
      </w:r>
    </w:p>
    <w:p>
      <w:pPr>
        <w:pStyle w:val="Compact"/>
        <w:numPr>
          <w:ilvl w:val="0"/>
          <w:numId w:val="1011"/>
        </w:numPr>
      </w:pPr>
      <w:r>
        <w:t xml:space="preserve">Was the December 17, 2025 Council resolution directing the supplemental report connected to your letter, or did it originate separately? Who moved it?</w:t>
      </w:r>
    </w:p>
    <w:p>
      <w:pPr>
        <w:pStyle w:val="Compact"/>
        <w:numPr>
          <w:ilvl w:val="0"/>
          <w:numId w:val="1011"/>
        </w:numPr>
      </w:pPr>
      <w:r>
        <w:t xml:space="preserve">As an Audit Committee member, do you have visibility into audit-related documents or context that isn't part of the public meeting record — particularly anything that would clarify the original Hub-selection process's projected outcomes, which your letter says weren't disclosed to Council?</w:t>
      </w:r>
    </w:p>
    <w:p>
      <w:pPr>
        <w:pStyle w:val="Compact"/>
        <w:numPr>
          <w:ilvl w:val="0"/>
          <w:numId w:val="1011"/>
        </w:numPr>
      </w:pPr>
      <w:r>
        <w:t xml:space="preserve">You noted London uses an outsourced Internal Auditor rather than an Auditor General. Do you think that structural choice affected what this or other audits were able to examine?</w:t>
      </w:r>
    </w:p>
    <w:p>
      <w:pPr>
        <w:pStyle w:val="Compact"/>
        <w:numPr>
          <w:ilvl w:val="0"/>
          <w:numId w:val="1011"/>
        </w:numPr>
      </w:pPr>
      <w:r>
        <w:t xml:space="preserve">This review separately found that a Community Grants Program audit and a Community Improvement Plans audit both exist and are complete (contradicting this review's own earlier, incorrect assumption that they didn't) — as an Audit Committee member, do those findings raise any concerns comparable to the Housing/Homelessness audit, in your view?</w:t>
      </w:r>
    </w:p>
    <w:bookmarkEnd w:id="124"/>
    <w:bookmarkStart w:id="125" w:name="how-this-review-would-use-a-response"/>
    <w:p>
      <w:pPr>
        <w:pStyle w:val="Heading2"/>
      </w:pPr>
      <w:r>
        <w:t xml:space="preserve">How this review would use a response</w:t>
      </w:r>
    </w:p>
    <w:p>
      <w:pPr>
        <w:pStyle w:val="FirstParagraph"/>
      </w:pPr>
      <w:r>
        <w:t xml:space="preserve">Consistent with this project's verification standard throughout: any statement from Stevenson would be quoted directly and attributed by name, exactly as her September letter already is. This review would not paraphrase her into a stronger or weaker claim than she actually makes, and would independently verify any new documents or figures she points to before publishing them — the same standard applied to every other source in this edition.</w:t>
      </w:r>
    </w:p>
    <w:bookmarkEnd w:id="125"/>
    <w:bookmarkStart w:id="126" w:name="sources-for-this-note"/>
    <w:p>
      <w:pPr>
        <w:pStyle w:val="Heading2"/>
      </w:pPr>
      <w:r>
        <w:t xml:space="preserve">Sources for this note</w:t>
      </w:r>
    </w:p>
    <w:p>
      <w:pPr>
        <w:pStyle w:val="Compact"/>
        <w:numPr>
          <w:ilvl w:val="0"/>
          <w:numId w:val="1012"/>
        </w:numPr>
      </w:pPr>
      <w:r>
        <w:t xml:space="preserve">Susan Stevenson, letter to City of London Audit Committee, September 8, 2025 (pub-london.escribemeetings.com, DocumentId=118758)</w:t>
      </w:r>
    </w:p>
    <w:p>
      <w:pPr>
        <w:pStyle w:val="Compact"/>
        <w:numPr>
          <w:ilvl w:val="0"/>
          <w:numId w:val="1012"/>
        </w:numPr>
      </w:pPr>
      <w:r>
        <w:t xml:space="preserve">MNP LLP,</w:t>
      </w:r>
      <w:r>
        <w:t xml:space="preserve"> </w:t>
      </w:r>
      <w:r>
        <w:rPr>
          <w:i/>
          <w:iCs/>
        </w:rPr>
        <w:t xml:space="preserve">Housing and Homelessness Value for Money Audit, Final Report</w:t>
      </w:r>
      <w:r>
        <w:t xml:space="preserve">, August 28, 2025 (DocumentId=118757)</w:t>
      </w:r>
    </w:p>
    <w:p>
      <w:pPr>
        <w:pStyle w:val="Compact"/>
        <w:numPr>
          <w:ilvl w:val="0"/>
          <w:numId w:val="1012"/>
        </w:numPr>
      </w:pPr>
      <w:r>
        <w:t xml:space="preserve">MNP LLP,</w:t>
      </w:r>
      <w:r>
        <w:t xml:space="preserve"> </w:t>
      </w:r>
      <w:r>
        <w:rPr>
          <w:i/>
          <w:iCs/>
        </w:rPr>
        <w:t xml:space="preserve">Housing and Homelessness Value-for-Money (VFM) Audit Supplemental Report</w:t>
      </w:r>
      <w:r>
        <w:t xml:space="preserve">, February 25, 2026, per Council resolution of December 17, 2025 (DocumentId=122080)</w:t>
      </w:r>
    </w:p>
    <w:p>
      <w:pPr>
        <w:pStyle w:val="Compact"/>
        <w:numPr>
          <w:ilvl w:val="0"/>
          <w:numId w:val="1012"/>
        </w:numPr>
      </w:pPr>
      <w:r>
        <w:t xml:space="preserve">MNP LLP, "Summary Update from Internal Audit" memos, September 10, 2025 and February 25, 2026 (DocumentIds 118755, 122077)</w:t>
      </w:r>
    </w:p>
    <w:bookmarkEnd w:id="126"/>
    <w:bookmarkEnd w:id="1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2026-08-20T21:27:27Z</dcterms:created>
  <dcterms:modified xsi:type="dcterms:W3CDTF">2026-08-20T21:27:27Z</dcterms:modified>
</cp:coreProperties>
</file>

<file path=docProps/custom.xml><?xml version="1.0" encoding="utf-8"?>
<Properties xmlns="http://schemas.openxmlformats.org/officeDocument/2006/custom-properties" xmlns:vt="http://schemas.openxmlformats.org/officeDocument/2006/docPropsVTypes"/>
</file>