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0"/>
        <w:jc w:val="center"/>
        <w:shd w:fill="1D3D64"/>
      </w:pPr>
      <w:r>
        <w:rPr>
          <w:rFonts w:ascii="Calibri" w:hAnsi="Calibri"/>
          <w:b/>
          <w:caps/>
          <w:color w:val="FFFFFF"/>
          <w:sz w:val="22"/>
        </w:rPr>
        <w:br/>
        <w:t>CITY OF LONDON · ONTARIO</w:t>
      </w:r>
    </w:p>
    <w:p>
      <w:pPr>
        <w:spacing w:before="0" w:after="0"/>
        <w:jc w:val="center"/>
        <w:shd w:fill="1D3D64"/>
      </w:pPr>
      <w:r>
        <w:rPr>
          <w:rFonts w:ascii="Georgia" w:hAnsi="Georgia"/>
          <w:b/>
          <w:color w:val="FFFFFF"/>
          <w:sz w:val="60"/>
        </w:rPr>
        <w:t>THE PUBLIC-RECORDS</w:t>
        <w:br/>
        <w:t>LEDGER</w:t>
      </w:r>
    </w:p>
    <w:p>
      <w:pPr>
        <w:spacing w:before="0" w:after="0"/>
        <w:jc w:val="center"/>
        <w:shd w:fill="1D3D64"/>
      </w:pPr>
      <w:r>
        <w:rPr>
          <w:rFonts w:ascii="Georgia" w:hAnsi="Georgia"/>
          <w:b/>
          <w:color w:val="FFFFFF"/>
          <w:sz w:val="34"/>
        </w:rPr>
        <w:t>Executive Findings Brief</w:t>
      </w:r>
    </w:p>
    <w:p>
      <w:pPr>
        <w:spacing w:before="0" w:after="360"/>
        <w:jc w:val="center"/>
        <w:shd w:fill="1D3D64"/>
      </w:pPr>
      <w:r>
        <w:rPr>
          <w:rFonts w:ascii="Georgia" w:hAnsi="Georgia"/>
          <w:color w:val="FFFFFF"/>
          <w:sz w:val="23"/>
        </w:rPr>
        <w:t>A source-locked municipal accountability review</w:t>
        <w:br/>
        <w:t>Final Public Edition 5.0</w:t>
        <w:br/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2B7A59"/>
                <w:sz w:val="34"/>
              </w:rPr>
              <w:t>12 / 12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research asks dispositioned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No placeholder modules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1E67AA"/>
                <w:sz w:val="34"/>
              </w:rPr>
              <w:t>8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built from public records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Complete at published depth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B76500"/>
                <w:sz w:val="34"/>
              </w:rPr>
              <w:t>4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records-dependent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Filing-ready requests supplied</w:t>
            </w:r>
          </w:p>
        </w:tc>
      </w:tr>
    </w:tbl>
    <w:p>
      <w:pPr>
        <w:spacing w:before="360" w:after="40"/>
        <w:jc w:val="center"/>
      </w:pPr>
      <w:r>
        <w:rPr>
          <w:rFonts w:ascii="Calibri" w:hAnsi="Calibri"/>
          <w:b/>
          <w:color w:val="152334"/>
          <w:sz w:val="22"/>
        </w:rPr>
        <w:t>Prepared by Raj Gandhi</w:t>
      </w:r>
    </w:p>
    <w:p>
      <w:pPr>
        <w:spacing w:after="40"/>
        <w:jc w:val="center"/>
      </w:pPr>
      <w:r>
        <w:rPr>
          <w:rFonts w:ascii="Calibri" w:hAnsi="Calibri"/>
          <w:color w:val="617184"/>
          <w:sz w:val="19"/>
        </w:rPr>
        <w:t>Evidence lock: August 20, 2026</w:t>
      </w:r>
    </w:p>
    <w:p>
      <w:pPr>
        <w:jc w:val="center"/>
      </w:pPr>
      <w:r>
        <w:rPr>
          <w:rFonts w:ascii="Calibri" w:hAnsi="Calibri"/>
          <w:color w:val="617184"/>
          <w:sz w:val="18"/>
        </w:rPr>
        <w:t>Independent review - not an official audit or assurance engagement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01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Executive verdict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What the public record establishes - and what it does not.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2B7A59"/>
          <w:left w:val="single" w:sz="6" w:color="2B7A59"/>
          <w:bottom w:val="single" w:sz="6" w:color="2B7A59"/>
          <w:right w:val="single" w:sz="6" w:color="2B7A59"/>
          <w:insideH w:val="single" w:sz="6" w:color="2B7A59"/>
          <w:insideV w:val="single" w:sz="6" w:color="2B7A59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E3F1EA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2B7A59"/>
                <w:sz w:val="19"/>
              </w:rPr>
              <w:t>THE GOVERNING CONCLUSION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22"/>
              </w:rPr>
              <w:t>The record supports a material disclosure-and-performance-measurement problem. It does not, by itself, establish fraud, corruption, favouritism, or waste. The strongest next move is targeted disclosure and traceable reconciliation - not allegation.</w:t>
            </w:r>
          </w:p>
        </w:tc>
      </w:tr>
    </w:tbl>
    <w:p>
      <w:pPr>
        <w:spacing w:before="0" w:after="120" w:line="264" w:lineRule="auto"/>
      </w:pPr>
      <w:r>
        <w:rPr>
          <w:rFonts w:ascii="Calibri" w:hAnsi="Calibri"/>
          <w:b/>
          <w:color w:val="152334"/>
          <w:sz w:val="21"/>
        </w:rPr>
        <w:t>Overall strength.</w:t>
      </w:r>
      <w:r>
        <w:rPr>
          <w:rFonts w:ascii="Calibri" w:hAnsi="Calibri"/>
          <w:color w:val="152334"/>
          <w:sz w:val="21"/>
        </w:rPr>
        <w:t xml:space="preserve"> Strong as a source-locked accountability brief; moderate as a transaction audit. It can establish disclosure gaps, reconcile published totals, reproduce arithmetic, and identify control findings already made by MNP. It cannot certify the books or test non-public invoices, bid evaluations, amendments, payroll, HR, or project-control records.</w:t>
      </w:r>
    </w:p>
    <w:p>
      <w:pPr>
        <w:pStyle w:val="Heading2"/>
      </w:pPr>
      <w:r>
        <w:t>Six highest-value findings</w:t>
      </w:r>
    </w:p>
    <w:p>
      <w:pPr>
        <w:pStyle w:val="ListBullet"/>
        <w:spacing w:after="6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 xml:space="preserve">1. Procurement visibility. </w:t>
      </w:r>
      <w:r>
        <w:rPr>
          <w:rFonts w:ascii="Calibri" w:hAnsi="Calibri"/>
          <w:color w:val="152334"/>
          <w:sz w:val="20"/>
        </w:rPr>
        <w:t>1,394 of 1,978 scraped posted-award records - 70.5% - carried no visible value. This is not total City procurement.</w:t>
      </w:r>
    </w:p>
    <w:p>
      <w:pPr>
        <w:pStyle w:val="ListBullet"/>
        <w:spacing w:after="6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 xml:space="preserve">2. Infrastructure renewal. </w:t>
      </w:r>
      <w:r>
        <w:rPr>
          <w:rFonts w:ascii="Calibri" w:hAnsi="Calibri"/>
          <w:color w:val="152334"/>
          <w:sz w:val="20"/>
        </w:rPr>
        <w:t>The $946.1M maintain-current gap was 66.3% above 2019 and 103.0% above 2014; it is a modeled need, not proof of misspending.</w:t>
      </w:r>
    </w:p>
    <w:p>
      <w:pPr>
        <w:pStyle w:val="ListBullet"/>
        <w:spacing w:after="6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 xml:space="preserve">3. DC reserves. </w:t>
      </w:r>
      <w:r>
        <w:rPr>
          <w:rFonts w:ascii="Calibri" w:hAnsi="Calibri"/>
          <w:color w:val="152334"/>
          <w:sz w:val="20"/>
        </w:rPr>
        <w:t>2025 contributions were $68.5M, disbursements $106.2M, and closing balance $327.1M. Sensitivities are not forecasts.</w:t>
      </w:r>
    </w:p>
    <w:p>
      <w:pPr>
        <w:pStyle w:val="ListBullet"/>
        <w:spacing w:after="6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 xml:space="preserve">4. PSAB variance. </w:t>
      </w:r>
      <w:r>
        <w:rPr>
          <w:rFonts w:ascii="Calibri" w:hAnsi="Calibri"/>
          <w:color w:val="152334"/>
          <w:sz w:val="20"/>
        </w:rPr>
        <w:t>The 2025 annual surplus was $463.734M against a $281.085M budget. The $182.649M variance is not unrestricted cash.</w:t>
      </w:r>
    </w:p>
    <w:p>
      <w:pPr>
        <w:pStyle w:val="ListBullet"/>
        <w:spacing w:after="6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 xml:space="preserve">5. Community grants. </w:t>
      </w:r>
      <w:r>
        <w:rPr>
          <w:rFonts w:ascii="Calibri" w:hAnsi="Calibri"/>
          <w:color w:val="152334"/>
          <w:sz w:val="20"/>
        </w:rPr>
        <w:t>The complete 2024-2027 ledger contains 42 recipients and exactly $9.2M in allocations; two MNP control findings remain open.</w:t>
      </w:r>
    </w:p>
    <w:p>
      <w:pPr>
        <w:pStyle w:val="ListBullet"/>
        <w:spacing w:after="6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 xml:space="preserve">6. Housing stages. </w:t>
      </w:r>
      <w:r>
        <w:rPr>
          <w:rFonts w:ascii="Calibri" w:hAnsi="Calibri"/>
          <w:color w:val="152334"/>
          <w:sz w:val="20"/>
        </w:rPr>
        <w:t>Permits, tracked units, in-progress units, planned units, completions, and occupancy are separate measures.</w:t>
      </w:r>
    </w:p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S01-S24 · C001-C037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02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How to read the evidence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Five tests keep the language inside the source.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700"/>
        <w:gridCol w:w="2200"/>
        <w:gridCol w:w="6460"/>
      </w:tblGrid>
      <w:tr>
        <w:trPr>
          <w:tblHeader w:val="true"/>
        </w:trPr>
        <w:tc>
          <w:tcPr>
            <w:tcW w:type="dxa" w:w="7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Test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Rule</w:t>
            </w:r>
          </w:p>
        </w:tc>
        <w:tc>
          <w:tcPr>
            <w:tcW w:type="dxa" w:w="64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Application</w:t>
            </w:r>
          </w:p>
        </w:tc>
      </w:tr>
      <w:tr>
        <w:tc>
          <w:tcPr>
            <w:tcW w:type="dxa" w:w="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1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Primary source</w:t>
            </w:r>
          </w:p>
        </w:tc>
        <w:tc>
          <w:tcPr>
            <w:tcW w:type="dxa" w:w="64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Official City, board/commission, provincial disclosure, or agenda attachment.</w:t>
            </w:r>
          </w:p>
        </w:tc>
      </w:tr>
      <w:tr>
        <w:tc>
          <w:tcPr>
            <w:tcW w:type="dxa" w:w="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2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Scope</w:t>
            </w:r>
          </w:p>
        </w:tc>
        <w:tc>
          <w:tcPr>
            <w:tcW w:type="dxa" w:w="64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Period, entity, unit, support type, and population are explicit.</w:t>
            </w:r>
          </w:p>
        </w:tc>
      </w:tr>
      <w:tr>
        <w:tc>
          <w:tcPr>
            <w:tcW w:type="dxa" w:w="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3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Status</w:t>
            </w:r>
          </w:p>
        </w:tc>
        <w:tc>
          <w:tcPr>
            <w:tcW w:type="dxa" w:w="64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Approval, budget, award, commitment, payment, completion, and outcome remain distinct.</w:t>
            </w:r>
          </w:p>
        </w:tc>
      </w:tr>
      <w:tr>
        <w:tc>
          <w:tcPr>
            <w:tcW w:type="dxa" w:w="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4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Reproduction</w:t>
            </w:r>
          </w:p>
        </w:tc>
        <w:tc>
          <w:tcPr>
            <w:tcW w:type="dxa" w:w="64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Displayed arithmetic can be recalculated from cited inputs.</w:t>
            </w:r>
          </w:p>
        </w:tc>
      </w:tr>
      <w:tr>
        <w:tc>
          <w:tcPr>
            <w:tcW w:type="dxa" w:w="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5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Language</w:t>
            </w:r>
          </w:p>
        </w:tc>
        <w:tc>
          <w:tcPr>
            <w:tcW w:type="dxa" w:w="64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Interpretation does not outrun the source; material limits sit beside the claim.</w:t>
            </w:r>
          </w:p>
        </w:tc>
      </w:tr>
    </w:tbl>
    <w:p>
      <w:pPr>
        <w:pStyle w:val="Heading2"/>
      </w:pPr>
      <w:r>
        <w:t>Evidence labels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1700"/>
        <w:gridCol w:w="3500"/>
        <w:gridCol w:w="4160"/>
      </w:tblGrid>
      <w:tr>
        <w:trPr>
          <w:tblHeader w:val="true"/>
        </w:trP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Label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Meaning</w:t>
            </w:r>
          </w:p>
        </w:tc>
        <w:tc>
          <w:tcPr>
            <w:tcW w:type="dxa" w:w="41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Permitted use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VERIFIED</w:t>
            </w:r>
          </w:p>
        </w:tc>
        <w:tc>
          <w:tcPr>
            <w:tcW w:type="dxa" w:w="3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Scope-matched source fact</w:t>
            </w:r>
          </w:p>
        </w:tc>
        <w:tc>
          <w:tcPr>
            <w:tcW w:type="dxa" w:w="4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May be stated as sourced fact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DERIVED</w:t>
            </w:r>
          </w:p>
        </w:tc>
        <w:tc>
          <w:tcPr>
            <w:tcW w:type="dxa" w:w="3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Arithmetic from verified inputs</w:t>
            </w:r>
          </w:p>
        </w:tc>
        <w:tc>
          <w:tcPr>
            <w:tcW w:type="dxa" w:w="4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Show the calculation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LIMITED</w:t>
            </w:r>
          </w:p>
        </w:tc>
        <w:tc>
          <w:tcPr>
            <w:tcW w:type="dxa" w:w="3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Valid only at narrower scope</w:t>
            </w:r>
          </w:p>
        </w:tc>
        <w:tc>
          <w:tcPr>
            <w:tcW w:type="dxa" w:w="4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Keep limitation adjacent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REQUESTED</w:t>
            </w:r>
          </w:p>
        </w:tc>
        <w:tc>
          <w:tcPr>
            <w:tcW w:type="dxa" w:w="3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Required input not public</w:t>
            </w:r>
          </w:p>
        </w:tc>
        <w:tc>
          <w:tcPr>
            <w:tcW w:type="dxa" w:w="4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No substantive conclusion</w:t>
            </w:r>
          </w:p>
        </w:tc>
      </w:tr>
      <w:tr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CORRECTED</w:t>
            </w:r>
          </w:p>
        </w:tc>
        <w:tc>
          <w:tcPr>
            <w:tcW w:type="dxa" w:w="3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Earlier wording superseded</w:t>
            </w:r>
          </w:p>
        </w:tc>
        <w:tc>
          <w:tcPr>
            <w:tcW w:type="dxa" w:w="4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Use the current source-locked wording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76500"/>
          <w:left w:val="single" w:sz="6" w:color="B76500"/>
          <w:bottom w:val="single" w:sz="6" w:color="B76500"/>
          <w:right w:val="single" w:sz="6" w:color="B76500"/>
          <w:insideH w:val="single" w:sz="6" w:color="B76500"/>
          <w:insideV w:val="single" w:sz="6" w:color="B76500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F8EBD8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B76500"/>
                <w:sz w:val="19"/>
              </w:rPr>
              <w:t>NO FALSE COMPLETION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9"/>
              </w:rPr>
              <w:t>A module may be finished even when the public record cannot support a transaction-level conclusion. Completion means the test, denominator, source gap, record-holder, and requested fields are specified - not that missing evidence may be guessed.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Methodology; Appendix E public-use rules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03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Financial baseline and condition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Large numbers require the correct accounting and support-type labels.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2B7A59"/>
                <w:sz w:val="34"/>
              </w:rPr>
              <w:t>$1.468B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2026 property-tax operating expense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$926.085M levy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1E67AA"/>
                <w:sz w:val="34"/>
              </w:rPr>
              <w:t>3.4%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2026 rate increase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Down from prior 6.4%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B76500"/>
                <w:sz w:val="34"/>
              </w:rPr>
              <w:t>$5.764B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10-year capital plans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Three support types</w:t>
            </w:r>
          </w:p>
        </w:tc>
      </w:tr>
    </w:tbl>
    <w:p>
      <w:pPr>
        <w:pStyle w:val="Heading2"/>
      </w:pPr>
      <w:r>
        <w:t>Three signals - three different questions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1500"/>
        <w:gridCol w:w="3000"/>
        <w:gridCol w:w="1600"/>
        <w:gridCol w:w="3260"/>
      </w:tblGrid>
      <w:tr>
        <w:trPr>
          <w:tblHeader w:val="true"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Area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Published figures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Screen</w:t>
            </w:r>
          </w:p>
        </w:tc>
        <w:tc>
          <w:tcPr>
            <w:tcW w:type="dxa" w:w="32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Guardrail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Infrastructure</w:t>
            </w:r>
          </w:p>
        </w:tc>
        <w:tc>
          <w:tcPr>
            <w:tcW w:type="dxa" w:w="30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$946.1M maintain-current gap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+66.3% vs 2019</w:t>
            </w:r>
          </w:p>
        </w:tc>
        <w:tc>
          <w:tcPr>
            <w:tcW w:type="dxa" w:w="3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Modeled renewal need; not current failure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PSAB surplus</w:t>
            </w:r>
          </w:p>
        </w:tc>
        <w:tc>
          <w:tcPr>
            <w:tcW w:type="dxa" w:w="30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$463.734M actual vs $281.085M budget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+$182.649M</w:t>
            </w:r>
          </w:p>
        </w:tc>
        <w:tc>
          <w:tcPr>
            <w:tcW w:type="dxa" w:w="3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Not tax-supported cash surplus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DC reserves</w:t>
            </w:r>
          </w:p>
        </w:tc>
        <w:tc>
          <w:tcPr>
            <w:tcW w:type="dxa" w:w="30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$68.5M in; $106.2M out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-$37.7M in 2025</w:t>
            </w:r>
          </w:p>
        </w:tc>
        <w:tc>
          <w:tcPr>
            <w:tcW w:type="dxa" w:w="3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Balance is not free capacity</w:t>
            </w:r>
          </w:p>
        </w:tc>
      </w:tr>
    </w:tbl>
    <w:p>
      <w:pPr>
        <w:spacing w:before="0" w:after="120" w:line="264" w:lineRule="auto"/>
      </w:pPr>
      <w:r>
        <w:rPr>
          <w:rFonts w:ascii="Calibri" w:hAnsi="Calibri"/>
          <w:color w:val="152334"/>
          <w:sz w:val="21"/>
        </w:rPr>
        <w:t>The capital plan totals are $3.588B property-tax supported, $707M water supported, and $1.469B wastewater-and-treatment supported. These support types should never be collapsed into an unlabeled total.</w:t>
      </w:r>
    </w:p>
    <w:p>
      <w:pPr>
        <w:pStyle w:val="Heading2"/>
      </w:pPr>
      <w:r>
        <w:t>DC sensitivity - arithmetic, not forecast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1800"/>
        <w:gridCol w:w="1800"/>
        <w:gridCol w:w="1800"/>
        <w:gridCol w:w="3960"/>
      </w:tblGrid>
      <w:tr>
        <w:trPr>
          <w:tblHeader w:val="true"/>
        </w:trP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Scenario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Annual net change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Year-3 balance</w:t>
            </w:r>
          </w:p>
        </w:tc>
        <w:tc>
          <w:tcPr>
            <w:tcW w:type="dxa" w:w="39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Interpretation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Repeat 2025</w:t>
            </w:r>
          </w:p>
        </w:tc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-$37.7M</w:t>
            </w:r>
          </w:p>
        </w:tc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$214.0M</w:t>
            </w:r>
          </w:p>
        </w:tc>
        <w:tc>
          <w:tcPr>
            <w:tcW w:type="dxa" w:w="39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Observed relationship held constant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High stress</w:t>
            </w:r>
          </w:p>
        </w:tc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-$62.0M</w:t>
            </w:r>
          </w:p>
        </w:tc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$141.1M</w:t>
            </w:r>
          </w:p>
        </w:tc>
        <w:tc>
          <w:tcPr>
            <w:tcW w:type="dxa" w:w="39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Contributions -20%; disbursements +10%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Recovery</w:t>
            </w:r>
          </w:p>
        </w:tc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-$17.1M</w:t>
            </w:r>
          </w:p>
        </w:tc>
        <w:tc>
          <w:tcPr>
            <w:tcW w:type="dxa" w:w="18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$275.8M</w:t>
            </w:r>
          </w:p>
        </w:tc>
        <w:tc>
          <w:tcPr>
            <w:tcW w:type="dxa" w:w="39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Contributions +30%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76500"/>
          <w:left w:val="single" w:sz="6" w:color="B76500"/>
          <w:bottom w:val="single" w:sz="6" w:color="B76500"/>
          <w:right w:val="single" w:sz="6" w:color="B76500"/>
          <w:insideH w:val="single" w:sz="6" w:color="B76500"/>
          <w:insideV w:val="single" w:sz="6" w:color="B76500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F8EBD8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B76500"/>
                <w:sz w:val="19"/>
              </w:rPr>
              <w:t>DO NOT CALL THIS A FORECAST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8"/>
              </w:rPr>
              <w:t>The scenarios ignore project closures, new approvals, interest, debt issuance, exemption changes, and timing. They are sensitivity tests only.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S01, S04, S09-S13 · C001-C009, C017-C019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04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Capital projects: the missing join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The recurring public-record issue is reconciliation, not a recurring overrun finding.</w:t>
      </w:r>
    </w:p>
    <w:p>
      <w:pPr>
        <w:spacing w:before="0" w:after="120" w:line="264" w:lineRule="auto"/>
      </w:pPr>
      <w:r>
        <w:rPr>
          <w:rFonts w:ascii="Calibri" w:hAnsi="Calibri"/>
          <w:color w:val="152334"/>
          <w:sz w:val="21"/>
        </w:rPr>
        <w:t>Public sources often provide a budget, financing line, or status update without a stable project ID connecting all three to the award, amendments, forecast-at-completion, physical progress, and closeout.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1900"/>
        <w:gridCol w:w="2500"/>
        <w:gridCol w:w="3700"/>
        <w:gridCol w:w="1260"/>
      </w:tblGrid>
      <w:tr>
        <w:trPr>
          <w:tblHeader w:val="true"/>
        </w:trP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Dossier</w:t>
            </w:r>
          </w:p>
        </w:tc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Public amount</w:t>
            </w:r>
          </w:p>
        </w:tc>
        <w:tc>
          <w:tcPr>
            <w:tcW w:type="dxa" w:w="37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Unresolved test</w:t>
            </w:r>
          </w:p>
        </w:tc>
        <w:tc>
          <w:tcPr>
            <w:tcW w:type="dxa" w:w="12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Route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Highbury Facility</w:t>
            </w:r>
          </w:p>
        </w:tc>
        <w:tc>
          <w:tcPr>
            <w:tcW w:type="dxa" w:w="2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$301.9M / ~$321.7M vintages</w:t>
            </w:r>
          </w:p>
        </w:tc>
        <w:tc>
          <w:tcPr>
            <w:tcW w:type="dxa" w:w="3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Budget-vintage and delivery reconciliation</w:t>
            </w:r>
          </w:p>
        </w:tc>
        <w:tc>
          <w:tcPr>
            <w:tcW w:type="dxa" w:w="1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R1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Roadmap to 3,000</w:t>
            </w:r>
          </w:p>
        </w:tc>
        <w:tc>
          <w:tcPr>
            <w:tcW w:type="dxa" w:w="2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$78.0M project book</w:t>
            </w:r>
          </w:p>
        </w:tc>
        <w:tc>
          <w:tcPr>
            <w:tcW w:type="dxa" w:w="3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Cost per completed/occupied unit</w:t>
            </w:r>
          </w:p>
        </w:tc>
        <w:tc>
          <w:tcPr>
            <w:tcW w:type="dxa" w:w="1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R4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Fanshawe grant</w:t>
            </w:r>
          </w:p>
        </w:tc>
        <w:tc>
          <w:tcPr>
            <w:tcW w:type="dxa" w:w="2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$20.75M</w:t>
            </w:r>
          </w:p>
        </w:tc>
        <w:tc>
          <w:tcPr>
            <w:tcW w:type="dxa" w:w="3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Agreement, payment, milestones, closeout</w:t>
            </w:r>
          </w:p>
        </w:tc>
        <w:tc>
          <w:tcPr>
            <w:tcW w:type="dxa" w:w="1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R1/R6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Mud Creek 2B</w:t>
            </w:r>
          </w:p>
        </w:tc>
        <w:tc>
          <w:tcPr>
            <w:tcW w:type="dxa" w:w="2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$24.720M</w:t>
            </w:r>
          </w:p>
        </w:tc>
        <w:tc>
          <w:tcPr>
            <w:tcW w:type="dxa" w:w="3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Award, amendments, FAC, completion</w:t>
            </w:r>
          </w:p>
        </w:tc>
        <w:tc>
          <w:tcPr>
            <w:tcW w:type="dxa" w:w="1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R1/R2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Springbank Dam</w:t>
            </w:r>
          </w:p>
        </w:tc>
        <w:tc>
          <w:tcPr>
            <w:tcW w:type="dxa" w:w="2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$14.6M stage; up to $3M decommission</w:t>
            </w:r>
          </w:p>
        </w:tc>
        <w:tc>
          <w:tcPr>
            <w:tcW w:type="dxa" w:w="3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Final cost and closeout certificate</w:t>
            </w:r>
          </w:p>
        </w:tc>
        <w:tc>
          <w:tcPr>
            <w:tcW w:type="dxa" w:w="1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R1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Wharncliffe/Horton</w:t>
            </w:r>
          </w:p>
        </w:tc>
        <w:tc>
          <w:tcPr>
            <w:tcW w:type="dxa" w:w="2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$90M; $39.6M gap</w:t>
            </w:r>
          </w:p>
        </w:tc>
        <w:tc>
          <w:tcPr>
            <w:tcW w:type="dxa" w:w="3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Estimate, financing plan, schedule</w:t>
            </w:r>
          </w:p>
        </w:tc>
        <w:tc>
          <w:tcPr>
            <w:tcW w:type="dxa" w:w="1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R1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Contingency reserve</w:t>
            </w:r>
          </w:p>
        </w:tc>
        <w:tc>
          <w:tcPr>
            <w:tcW w:type="dxa" w:w="2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$35.18M / $96.59M / $109.8M</w:t>
            </w:r>
          </w:p>
        </w:tc>
        <w:tc>
          <w:tcPr>
            <w:tcW w:type="dxa" w:w="3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Fund mapping and policy target</w:t>
            </w:r>
          </w:p>
        </w:tc>
        <w:tc>
          <w:tcPr>
            <w:tcW w:type="dxa" w:w="1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R6</w:t>
            </w:r>
          </w:p>
        </w:tc>
      </w:tr>
      <w:tr>
        <w:tc>
          <w:tcPr>
            <w:tcW w:type="dxa" w:w="1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401 / Highway 4</w:t>
            </w:r>
          </w:p>
        </w:tc>
        <w:tc>
          <w:tcPr>
            <w:tcW w:type="dxa" w:w="2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No City cost established</w:t>
            </w:r>
          </w:p>
        </w:tc>
        <w:tc>
          <w:tcPr>
            <w:tcW w:type="dxa" w:w="3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Closed unless a City project is specified</w:t>
            </w:r>
          </w:p>
        </w:tc>
        <w:tc>
          <w:tcPr>
            <w:tcW w:type="dxa" w:w="12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Closed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1E67AA"/>
          <w:left w:val="single" w:sz="6" w:color="1E67AA"/>
          <w:bottom w:val="single" w:sz="6" w:color="1E67AA"/>
          <w:right w:val="single" w:sz="6" w:color="1E67AA"/>
          <w:insideH w:val="single" w:sz="6" w:color="1E67AA"/>
          <w:insideV w:val="single" w:sz="6" w:color="1E67AA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DCEAF6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E67AA"/>
                <w:sz w:val="19"/>
              </w:rPr>
              <w:t>CAPITAL CONCLUSION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9"/>
              </w:rPr>
              <w:t>The named files show a recurring reconciliation gap. They do not establish a recurring pattern of overruns. R1 asks for stable IDs and the budget-award-amendment-payment-progress-closeout spine.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S01, S02, S09, S10, S25-S27 · R1, R2, R4, R6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05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Procurement: visibility is not compliance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The posted portal supports a disclosure finding, not an award-by-award misconduct conclusion.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2B7A59"/>
                <w:sz w:val="34"/>
              </w:rPr>
              <w:t>70.5%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records without visible value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1,394 of 1,978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1E67AA"/>
                <w:sz w:val="34"/>
              </w:rPr>
              <w:t>$1.022B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known-value pool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584 records only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B76500"/>
                <w:sz w:val="34"/>
              </w:rPr>
              <w:t>71.6%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top-ten known-value share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Partial disclosed slice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B33A3A"/>
                <w:sz w:val="34"/>
              </w:rPr>
              <w:t>94.3%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construction share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Known-value dollars</w:t>
            </w:r>
          </w:p>
        </w:tc>
      </w:tr>
    </w:tbl>
    <w:p>
      <w:pPr>
        <w:spacing w:before="0" w:after="120" w:line="264" w:lineRule="auto"/>
      </w:pPr>
      <w:r>
        <w:rPr>
          <w:rFonts w:ascii="Calibri" w:hAnsi="Calibri"/>
          <w:color w:val="152334"/>
          <w:sz w:val="21"/>
        </w:rPr>
        <w:t>The denominator is incomplete by design. The known-value pool cannot stand in for total City procurement. HHI is retained only as a descriptive sensitivity statistic for this partial population; it is not a relevant antitrust market or a conclusion about competition.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2350"/>
        <w:gridCol w:w="1600"/>
        <w:gridCol w:w="3900"/>
        <w:gridCol w:w="1510"/>
      </w:tblGrid>
      <w:tr>
        <w:trPr>
          <w:tblHeader w:val="true"/>
        </w:trP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Test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Result</w:t>
            </w:r>
          </w:p>
        </w:tc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Reason</w:t>
            </w:r>
          </w:p>
        </w:tc>
        <w:tc>
          <w:tcPr>
            <w:tcW w:type="dxa" w:w="151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Evidence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Policy version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PASS</w:t>
            </w:r>
          </w:p>
        </w:tc>
        <w:tc>
          <w:tcPr>
            <w:tcW w:type="dxa" w:w="3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Legacy/current boundary identified</w:t>
            </w:r>
          </w:p>
        </w:tc>
        <w:tc>
          <w:tcPr>
            <w:tcW w:type="dxa" w:w="15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S06-S07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Annual compliance review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PASS</w:t>
            </w:r>
          </w:p>
        </w:tc>
        <w:tc>
          <w:tcPr>
            <w:tcW w:type="dxa" w:w="3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2025 review received</w:t>
            </w:r>
          </w:p>
        </w:tc>
        <w:tc>
          <w:tcPr>
            <w:tcW w:type="dxa" w:w="15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S07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Biannual reporting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PASS</w:t>
            </w:r>
          </w:p>
        </w:tc>
        <w:tc>
          <w:tcPr>
            <w:tcW w:type="dxa" w:w="3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May 2026 report located</w:t>
            </w:r>
          </w:p>
        </w:tc>
        <w:tc>
          <w:tcPr>
            <w:tcW w:type="dxa" w:w="15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S08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Limited tendering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PARTIAL</w:t>
            </w:r>
          </w:p>
        </w:tc>
        <w:tc>
          <w:tcPr>
            <w:tcW w:type="dxa" w:w="3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Portal lacks complete row-level flag</w:t>
            </w:r>
          </w:p>
        </w:tc>
        <w:tc>
          <w:tcPr>
            <w:tcW w:type="dxa" w:w="15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R2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Amendments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NOT TESTABLE</w:t>
            </w:r>
          </w:p>
        </w:tc>
        <w:tc>
          <w:tcPr>
            <w:tcW w:type="dxa" w:w="3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No joined amendment history</w:t>
            </w:r>
          </w:p>
        </w:tc>
        <w:tc>
          <w:tcPr>
            <w:tcW w:type="dxa" w:w="15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R2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Bid spread / disqualification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NOT TESTABLE</w:t>
            </w:r>
          </w:p>
        </w:tc>
        <w:tc>
          <w:tcPr>
            <w:tcW w:type="dxa" w:w="3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Bid tabulations required</w:t>
            </w:r>
          </w:p>
        </w:tc>
        <w:tc>
          <w:tcPr>
            <w:tcW w:type="dxa" w:w="15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R2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Award-value publication</w:t>
            </w:r>
          </w:p>
        </w:tc>
        <w:tc>
          <w:tcPr>
            <w:tcW w:type="dxa" w:w="16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DISCLOSURE FAIL</w:t>
            </w:r>
          </w:p>
        </w:tc>
        <w:tc>
          <w:tcPr>
            <w:tcW w:type="dxa" w:w="3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70.5% no visible value</w:t>
            </w:r>
          </w:p>
        </w:tc>
        <w:tc>
          <w:tcPr>
            <w:tcW w:type="dxa" w:w="15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S05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76500"/>
          <w:left w:val="single" w:sz="6" w:color="B76500"/>
          <w:bottom w:val="single" w:sz="6" w:color="B76500"/>
          <w:right w:val="single" w:sz="6" w:color="B76500"/>
          <w:insideH w:val="single" w:sz="6" w:color="B76500"/>
          <w:insideV w:val="single" w:sz="6" w:color="B76500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F8EBD8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B76500"/>
                <w:sz w:val="19"/>
              </w:rPr>
              <w:t>REPRODUCIBILITY BOUNDARY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9"/>
              </w:rPr>
              <w:t>The original 1,978-row parser export and normalization workbook were not recovered. C010-C013 remain derived / limited. This package replays their arithmetic but cannot regenerate their source population.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S05-S08 · C010-C016 · R2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06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Workforce and service performance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The public salary layer is useful, but it is not the municipal workforce denominator.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2B7A59"/>
                <w:sz w:val="34"/>
              </w:rPr>
              <w:t>579 -&gt; 831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salary-disclosure population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+43.5%, 2021-2025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1E67AA"/>
                <w:sz w:val="34"/>
              </w:rPr>
              <w:t>$74.4M -&gt; $109.0M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disclosed compensation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+46.5%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B76500"/>
                <w:sz w:val="34"/>
              </w:rPr>
              <w:t>$127.5K -&gt; $129.7K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average disclosed salary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+1.7% nominal</w:t>
            </w:r>
          </w:p>
        </w:tc>
      </w:tr>
    </w:tbl>
    <w:p>
      <w:pPr>
        <w:spacing w:before="0" w:after="120" w:line="264" w:lineRule="auto"/>
      </w:pPr>
      <w:r>
        <w:rPr>
          <w:rFonts w:ascii="Calibri" w:hAnsi="Calibri"/>
          <w:color w:val="152334"/>
          <w:sz w:val="21"/>
        </w:rPr>
        <w:t>The Sunshine List cannot answer total FTE growth, management ratio, spans, layers, vacancies, overtime, turnover, sick time, contracted labour, or output per FTE. Heuristic title buckets are screening labels only.</w:t>
      </w:r>
    </w:p>
    <w:p>
      <w:pPr>
        <w:pStyle w:val="Heading2"/>
      </w:pPr>
      <w:r>
        <w:t>Finished productivity specification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2100"/>
        <w:gridCol w:w="2300"/>
        <w:gridCol w:w="2200"/>
        <w:gridCol w:w="2760"/>
      </w:tblGrid>
      <w:tr>
        <w:trPr>
          <w:tblHeader w:val="true"/>
        </w:trP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Metric</w:t>
            </w:r>
          </w:p>
        </w:tc>
        <w:tc>
          <w:tcPr>
            <w:tcW w:type="dxa" w:w="23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Numerator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Denominator</w:t>
            </w:r>
          </w:p>
        </w:tc>
        <w:tc>
          <w:tcPr>
            <w:tcW w:type="dxa" w:w="27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Required source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Management ratio</w:t>
            </w:r>
          </w:p>
        </w:tc>
        <w:tc>
          <w:tcPr>
            <w:tcW w:type="dxa" w:w="2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Official management FTE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Total active FTE</w:t>
            </w:r>
          </w:p>
        </w:tc>
        <w:tc>
          <w:tcPr>
            <w:tcW w:type="dxa" w:w="27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HR complement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Span of control</w:t>
            </w:r>
          </w:p>
        </w:tc>
        <w:tc>
          <w:tcPr>
            <w:tcW w:type="dxa" w:w="2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Direct reports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People managers</w:t>
            </w:r>
          </w:p>
        </w:tc>
        <w:tc>
          <w:tcPr>
            <w:tcW w:type="dxa" w:w="27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Position hierarchy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Vacancy rate</w:t>
            </w:r>
          </w:p>
        </w:tc>
        <w:tc>
          <w:tcPr>
            <w:tcW w:type="dxa" w:w="2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Budgeted less filled FTE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Budgeted FTE</w:t>
            </w:r>
          </w:p>
        </w:tc>
        <w:tc>
          <w:tcPr>
            <w:tcW w:type="dxa" w:w="27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Monthly complement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Overtime burden</w:t>
            </w:r>
          </w:p>
        </w:tc>
        <w:tc>
          <w:tcPr>
            <w:tcW w:type="dxa" w:w="2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Overtime hours/cost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Worked hours/payroll</w:t>
            </w:r>
          </w:p>
        </w:tc>
        <w:tc>
          <w:tcPr>
            <w:tcW w:type="dxa" w:w="27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Payroll by service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Turnover</w:t>
            </w:r>
          </w:p>
        </w:tc>
        <w:tc>
          <w:tcPr>
            <w:tcW w:type="dxa" w:w="2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Separations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Average headcount</w:t>
            </w:r>
          </w:p>
        </w:tc>
        <w:tc>
          <w:tcPr>
            <w:tcW w:type="dxa" w:w="27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HR movement file</w:t>
            </w:r>
          </w:p>
        </w:tc>
      </w:tr>
      <w:tr>
        <w:tc>
          <w:tcPr>
            <w:tcW w:type="dxa" w:w="2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Service productivity</w:t>
            </w:r>
          </w:p>
        </w:tc>
        <w:tc>
          <w:tcPr>
            <w:tcW w:type="dxa" w:w="2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Volume and quality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FTE and cost</w:t>
            </w:r>
          </w:p>
        </w:tc>
        <w:tc>
          <w:tcPr>
            <w:tcW w:type="dxa" w:w="27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KPI + finance + HR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1E67AA"/>
          <w:left w:val="single" w:sz="6" w:color="1E67AA"/>
          <w:bottom w:val="single" w:sz="6" w:color="1E67AA"/>
          <w:right w:val="single" w:sz="6" w:color="1E67AA"/>
          <w:insideH w:val="single" w:sz="6" w:color="1E67AA"/>
          <w:insideV w:val="single" w:sz="6" w:color="1E67AA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DCEAF6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E67AA"/>
                <w:sz w:val="19"/>
              </w:rPr>
              <w:t>WHAT IS BUILT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9"/>
              </w:rPr>
              <w:t>Transit and police have evidence-built modules. Fire, water, wastewater, roads, recreation, fleet, IT, real estate, and legal/risk each have a defined KPI spine and request route. No unsupported cross-service ranking is made.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S28, S31-S35 · C020-C021, C038-C044 · R3, R5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07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Housing and homelessness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A pipeline is not a completion count; a permit is not an occupied home.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2350"/>
        <w:gridCol w:w="1650"/>
        <w:gridCol w:w="2450"/>
        <w:gridCol w:w="2910"/>
      </w:tblGrid>
      <w:tr>
        <w:trPr>
          <w:tblHeader w:val="true"/>
        </w:trP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Indicator</w:t>
            </w:r>
          </w:p>
        </w:tc>
        <w:tc>
          <w:tcPr>
            <w:tcW w:type="dxa" w:w="165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Figure</w:t>
            </w:r>
          </w:p>
        </w:tc>
        <w:tc>
          <w:tcPr>
            <w:tcW w:type="dxa" w:w="245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Stage / scope</w:t>
            </w:r>
          </w:p>
        </w:tc>
        <w:tc>
          <w:tcPr>
            <w:tcW w:type="dxa" w:w="291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Does not prove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Residential permits</w:t>
            </w:r>
          </w:p>
        </w:tc>
        <w:tc>
          <w:tcPr>
            <w:tcW w:type="dxa" w:w="16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5,462</w:t>
            </w:r>
          </w:p>
        </w:tc>
        <w:tc>
          <w:tcPr>
            <w:tcW w:type="dxa" w:w="2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All permitted units</w:t>
            </w:r>
          </w:p>
        </w:tc>
        <w:tc>
          <w:tcPr>
            <w:tcW w:type="dxa" w:w="29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Not starts, completions, or occupancy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HAF year-2 permits</w:t>
            </w:r>
          </w:p>
        </w:tc>
        <w:tc>
          <w:tcPr>
            <w:tcW w:type="dxa" w:w="16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4,284 vs 3,991</w:t>
            </w:r>
          </w:p>
        </w:tc>
        <w:tc>
          <w:tcPr>
            <w:tcW w:type="dxa" w:w="2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Measurement window</w:t>
            </w:r>
          </w:p>
        </w:tc>
        <w:tc>
          <w:tcPr>
            <w:tcW w:type="dxa" w:w="29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Not completed HAF homes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City-funded affordable tracked</w:t>
            </w:r>
          </w:p>
        </w:tc>
        <w:tc>
          <w:tcPr>
            <w:tcW w:type="dxa" w:w="16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2,576</w:t>
            </w:r>
          </w:p>
        </w:tc>
        <w:tc>
          <w:tcPr>
            <w:tcW w:type="dxa" w:w="2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Since late 2021</w:t>
            </w:r>
          </w:p>
        </w:tc>
        <w:tc>
          <w:tcPr>
            <w:tcW w:type="dxa" w:w="29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Mixed pipeline stages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In progress</w:t>
            </w:r>
          </w:p>
        </w:tc>
        <w:tc>
          <w:tcPr>
            <w:tcW w:type="dxa" w:w="16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675</w:t>
            </w:r>
          </w:p>
        </w:tc>
        <w:tc>
          <w:tcPr>
            <w:tcW w:type="dxa" w:w="2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Tracked subset</w:t>
            </w:r>
          </w:p>
        </w:tc>
        <w:tc>
          <w:tcPr>
            <w:tcW w:type="dxa" w:w="29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Definition may vary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In planning</w:t>
            </w:r>
          </w:p>
        </w:tc>
        <w:tc>
          <w:tcPr>
            <w:tcW w:type="dxa" w:w="16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1,360</w:t>
            </w:r>
          </w:p>
        </w:tc>
        <w:tc>
          <w:tcPr>
            <w:tcW w:type="dxa" w:w="2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Tracked subset</w:t>
            </w:r>
          </w:p>
        </w:tc>
        <w:tc>
          <w:tcPr>
            <w:tcW w:type="dxa" w:w="29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Not approval or construction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City-led HSH occupied</w:t>
            </w:r>
          </w:p>
        </w:tc>
        <w:tc>
          <w:tcPr>
            <w:tcW w:type="dxa" w:w="16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44</w:t>
            </w:r>
          </w:p>
        </w:tc>
        <w:tc>
          <w:tcPr>
            <w:tcW w:type="dxa" w:w="2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Explicit completion/occupancy</w:t>
            </w:r>
          </w:p>
        </w:tc>
        <w:tc>
          <w:tcPr>
            <w:tcW w:type="dxa" w:w="29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Specific subset only</w:t>
            </w:r>
          </w:p>
        </w:tc>
      </w:tr>
      <w:tr>
        <w:tc>
          <w:tcPr>
            <w:tcW w:type="dxa" w:w="2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HSH tracked</w:t>
            </w:r>
          </w:p>
        </w:tc>
        <w:tc>
          <w:tcPr>
            <w:tcW w:type="dxa" w:w="16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422</w:t>
            </w:r>
          </w:p>
        </w:tc>
        <w:tc>
          <w:tcPr>
            <w:tcW w:type="dxa" w:w="2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Combined pipeline</w:t>
            </w:r>
          </w:p>
        </w:tc>
        <w:tc>
          <w:tcPr>
            <w:tcW w:type="dxa" w:w="29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Not all complete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1E67AA"/>
          <w:left w:val="single" w:sz="6" w:color="1E67AA"/>
          <w:bottom w:val="single" w:sz="6" w:color="1E67AA"/>
          <w:right w:val="single" w:sz="6" w:color="1E67AA"/>
          <w:insideH w:val="single" w:sz="6" w:color="1E67AA"/>
          <w:insideV w:val="single" w:sz="6" w:color="1E67AA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DCEAF6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E67AA"/>
                <w:sz w:val="19"/>
              </w:rPr>
              <w:t>AFFORDABLE-HOUSING RECONCILIATION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8"/>
              </w:rPr>
              <w:t>The 675 in-progress and 1,360 planned units total 2,035, leaving 541 of the 2,576 City-funded tracked units in other stages not broken out in the summary. That is a classification question, not an error finding.</w:t>
            </w:r>
          </w:p>
        </w:tc>
      </w:tr>
    </w:tbl>
    <w:p>
      <w:pPr>
        <w:pStyle w:val="Heading2"/>
      </w:pPr>
      <w:r>
        <w:t>Hubs: better cost evidence, incomplete cohort evidence</w:t>
      </w:r>
    </w:p>
    <w:p>
      <w:pPr>
        <w:spacing w:before="0" w:after="120" w:line="264" w:lineRule="auto"/>
      </w:pPr>
      <w:r>
        <w:rPr>
          <w:rFonts w:ascii="Calibri" w:hAnsi="Calibri"/>
          <w:color w:val="152334"/>
          <w:sz w:val="21"/>
        </w:rPr>
        <w:t>MNP reported approximate bed-day costs of $120.93 for shelter, $207.25 for Atlohsa, and $362.34 for YOU, plus more than 100 people served and more than 40 stable-housing outcomes. The record still lacks a location-level cohort, retention, length-of-stay, and critical-incident ledger.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2B7A59"/>
          <w:left w:val="single" w:sz="6" w:color="2B7A59"/>
          <w:bottom w:val="single" w:sz="6" w:color="2B7A59"/>
          <w:right w:val="single" w:sz="6" w:color="2B7A59"/>
          <w:insideH w:val="single" w:sz="6" w:color="2B7A59"/>
          <w:insideV w:val="single" w:sz="6" w:color="2B7A59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E3F1EA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2B7A59"/>
                <w:sz w:val="19"/>
              </w:rPr>
              <w:t>BALANCED FINDING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8"/>
              </w:rPr>
              <w:t>The February 2026 supplement materially improves the evidence. It does not close the project-level cohort and retention questions. R4 asks for the missing join.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S02, S03, S17-S19, S23 · C022-C028, C035-C037 · R4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08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Grants, incentives, and internal audit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The allocation ledger is complete; agreement-level payments and outcomes remain the next layer.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2B7A59"/>
                <w:sz w:val="34"/>
              </w:rPr>
              <w:t>42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multi-year recipients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Complete published list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1E67AA"/>
                <w:sz w:val="34"/>
              </w:rPr>
              <w:t>$9.2M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four-year allocation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$2.3M per year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B76500"/>
                <w:sz w:val="34"/>
              </w:rPr>
              <w:t>164,003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people served / year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Program-reported average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hAnsi="Calibri"/>
                <w:b/>
                <w:color w:val="B33A3A"/>
                <w:sz w:val="34"/>
              </w:rPr>
              <w:t>&gt;$50M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52334"/>
                <w:sz w:val="17"/>
              </w:rPr>
              <w:t>other funding leveraged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color w:val="617184"/>
                <w:sz w:val="15"/>
              </w:rPr>
              <w:t>Program-reported</w:t>
            </w:r>
          </w:p>
        </w:tc>
      </w:tr>
    </w:tbl>
    <w:p>
      <w:pPr>
        <w:spacing w:before="0" w:after="120" w:line="264" w:lineRule="auto"/>
      </w:pPr>
      <w:r>
        <w:rPr>
          <w:rFonts w:ascii="Calibri" w:hAnsi="Calibri"/>
          <w:color w:val="152334"/>
          <w:sz w:val="21"/>
        </w:rPr>
        <w:t>Approval and allocation are not payment. The City's impact report says recipients were meeting expected outcomes at the reporting date; this review does not independently certify those program-level results.</w:t>
      </w:r>
    </w:p>
    <w:p>
      <w:pPr>
        <w:pStyle w:val="Heading2"/>
      </w:pPr>
      <w:r>
        <w:t>Two open MNP control findings</w:t>
      </w:r>
    </w:p>
    <w:p>
      <w:pPr>
        <w:pStyle w:val="ListBullet"/>
        <w:spacing w:after="6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>Score-to-award rule.</w:t>
      </w:r>
      <w:r>
        <w:rPr>
          <w:rFonts w:ascii="Calibri" w:hAnsi="Calibri"/>
          <w:color w:val="152334"/>
          <w:sz w:val="20"/>
        </w:rPr>
        <w:t xml:space="preserve"> No documented threshold or criteria translates final application scores into funding amounts; the management action remains on track for Q4 2027.</w:t>
      </w:r>
    </w:p>
    <w:p>
      <w:pPr>
        <w:pStyle w:val="ListBullet"/>
        <w:spacing w:after="6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>Scoring rationale.</w:t>
      </w:r>
      <w:r>
        <w:rPr>
          <w:rFonts w:ascii="Calibri" w:hAnsi="Calibri"/>
          <w:color w:val="152334"/>
          <w:sz w:val="20"/>
        </w:rPr>
        <w:t xml:space="preserve"> SmartSimple did not require panel members to enter rationale; the strengthening action remains on track for Q4 2027.</w:t>
      </w:r>
    </w:p>
    <w:p>
      <w:pPr>
        <w:pStyle w:val="Heading2"/>
      </w:pPr>
      <w:r>
        <w:t>Audit-to-ledger connection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2200"/>
        <w:gridCol w:w="1700"/>
        <w:gridCol w:w="3100"/>
        <w:gridCol w:w="2360"/>
      </w:tblGrid>
      <w:tr>
        <w:trPr>
          <w:tblHeader w:val="true"/>
        </w:trP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Audit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Volume</w:t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Core issue</w:t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Status at lock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Community Grants</w:t>
            </w:r>
          </w:p>
        </w:tc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 medium</w:t>
            </w:r>
          </w:p>
        </w:tc>
        <w:tc>
          <w:tcPr>
            <w:tcW w:type="dxa" w:w="3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Score/funding rule; rationale</w:t>
            </w:r>
          </w:p>
        </w:tc>
        <w:tc>
          <w:tcPr>
            <w:tcW w:type="dxa" w:w="23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Q4 2027 on track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Homelessness</w:t>
            </w:r>
          </w:p>
        </w:tc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 medium</w:t>
            </w:r>
          </w:p>
        </w:tc>
        <w:tc>
          <w:tcPr>
            <w:tcW w:type="dxa" w:w="3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Hubs governance/outcomes</w:t>
            </w:r>
          </w:p>
        </w:tc>
        <w:tc>
          <w:tcPr>
            <w:tcW w:type="dxa" w:w="23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Supplement added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CIPs</w:t>
            </w:r>
          </w:p>
        </w:tc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10 observations</w:t>
            </w:r>
          </w:p>
        </w:tc>
        <w:tc>
          <w:tcPr>
            <w:tcW w:type="dxa" w:w="3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Outcome monitoring and mapping</w:t>
            </w:r>
          </w:p>
        </w:tc>
        <w:tc>
          <w:tcPr>
            <w:tcW w:type="dxa" w:w="23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Q3 2026-Q2 2027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CEAP</w:t>
            </w:r>
          </w:p>
        </w:tc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17 observations</w:t>
            </w:r>
          </w:p>
        </w:tc>
        <w:tc>
          <w:tcPr>
            <w:tcW w:type="dxa" w:w="3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Measurability, funding, ownership</w:t>
            </w:r>
          </w:p>
        </w:tc>
        <w:tc>
          <w:tcPr>
            <w:tcW w:type="dxa" w:w="23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Action follow-up needed</w:t>
            </w:r>
          </w:p>
        </w:tc>
      </w:tr>
      <w:tr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Performance Measurement</w:t>
            </w:r>
          </w:p>
        </w:tc>
        <w:tc>
          <w:tcPr>
            <w:tcW w:type="dxa" w:w="17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Final Nov. 2025</w:t>
            </w:r>
          </w:p>
        </w:tc>
        <w:tc>
          <w:tcPr>
            <w:tcW w:type="dxa" w:w="31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Corporate framework</w:t>
            </w:r>
          </w:p>
        </w:tc>
        <w:tc>
          <w:tcPr>
            <w:tcW w:type="dxa" w:w="23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Completion target Q4 2026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S14-S16, S20-S24 · C029-C034, C045-C047 · R6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09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The reform is a public ledger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Disclosure architecture can convert scattered reporting into traceable management information.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1E67AA"/>
          <w:left w:val="single" w:sz="6" w:color="1E67AA"/>
          <w:bottom w:val="single" w:sz="6" w:color="1E67AA"/>
          <w:right w:val="single" w:sz="6" w:color="1E67AA"/>
          <w:insideH w:val="single" w:sz="6" w:color="1E67AA"/>
          <w:insideV w:val="single" w:sz="6" w:color="1E67AA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DCEAF6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E67AA"/>
                <w:sz w:val="19"/>
              </w:rPr>
              <w:t>BEST SINGLE QUESTION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21"/>
              </w:rPr>
              <w:t>Will administration publish, for every major capital project and incentive program, one machine-readable row connecting original authority, current budget, award, amendments, committed amount, paid amount, schedule, output, and closeout status?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500"/>
        <w:gridCol w:w="2200"/>
        <w:gridCol w:w="5450"/>
        <w:gridCol w:w="1210"/>
      </w:tblGrid>
      <w:tr>
        <w:trPr>
          <w:tblHeader w:val="true"/>
        </w:trPr>
        <w:tc>
          <w:tcPr>
            <w:tcW w:type="dxa" w:w="5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#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Ledger</w:t>
            </w:r>
          </w:p>
        </w:tc>
        <w:tc>
          <w:tcPr>
            <w:tcW w:type="dxa" w:w="545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Minimum spine</w:t>
            </w:r>
          </w:p>
        </w:tc>
        <w:tc>
          <w:tcPr>
            <w:tcW w:type="dxa" w:w="121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Cadence</w:t>
            </w:r>
          </w:p>
        </w:tc>
      </w:tr>
      <w:tr>
        <w:tc>
          <w:tcPr>
            <w:tcW w:type="dxa" w:w="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1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Major-project reconciliation</w:t>
            </w:r>
          </w:p>
        </w:tc>
        <w:tc>
          <w:tcPr>
            <w:tcW w:type="dxa" w:w="5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Authority, budget/schedule, FAC, award, amendments, payments, progress, closeout</w:t>
            </w:r>
          </w:p>
        </w:tc>
        <w:tc>
          <w:tcPr>
            <w:tcW w:type="dxa" w:w="12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Quarterly</w:t>
            </w:r>
          </w:p>
        </w:tc>
      </w:tr>
      <w:tr>
        <w:tc>
          <w:tcPr>
            <w:tcW w:type="dxa" w:w="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2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Procurement award + amendment</w:t>
            </w:r>
          </w:p>
        </w:tc>
        <w:tc>
          <w:tcPr>
            <w:tcW w:type="dxa" w:w="5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Vendor, value, bids, authority, policy, exceptions, amendments, performance</w:t>
            </w:r>
          </w:p>
        </w:tc>
        <w:tc>
          <w:tcPr>
            <w:tcW w:type="dxa" w:w="12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Monthly</w:t>
            </w:r>
          </w:p>
        </w:tc>
      </w:tr>
      <w:tr>
        <w:tc>
          <w:tcPr>
            <w:tcW w:type="dxa" w:w="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3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Grant/CIP outcomes</w:t>
            </w:r>
          </w:p>
        </w:tc>
        <w:tc>
          <w:tcPr>
            <w:tcW w:type="dxa" w:w="5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Score, rationale, approved/paid, milestones, outcome, closeout, clawback</w:t>
            </w:r>
          </w:p>
        </w:tc>
        <w:tc>
          <w:tcPr>
            <w:tcW w:type="dxa" w:w="12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Annual + live</w:t>
            </w:r>
          </w:p>
        </w:tc>
      </w:tr>
      <w:tr>
        <w:tc>
          <w:tcPr>
            <w:tcW w:type="dxa" w:w="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4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Housing cohort pipeline</w:t>
            </w:r>
          </w:p>
        </w:tc>
        <w:tc>
          <w:tcPr>
            <w:tcW w:type="dxa" w:w="5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Application through occupancy and affordability under stable IDs</w:t>
            </w:r>
          </w:p>
        </w:tc>
        <w:tc>
          <w:tcPr>
            <w:tcW w:type="dxa" w:w="12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Monthly</w:t>
            </w:r>
          </w:p>
        </w:tc>
      </w:tr>
      <w:tr>
        <w:tc>
          <w:tcPr>
            <w:tcW w:type="dxa" w:w="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5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Workforce complement</w:t>
            </w:r>
          </w:p>
        </w:tc>
        <w:tc>
          <w:tcPr>
            <w:tcW w:type="dxa" w:w="5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Budgeted/filled FTE, vacancies, layers, spans, overtime, turnover</w:t>
            </w:r>
          </w:p>
        </w:tc>
        <w:tc>
          <w:tcPr>
            <w:tcW w:type="dxa" w:w="12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Quarterly</w:t>
            </w:r>
          </w:p>
        </w:tc>
      </w:tr>
      <w:tr>
        <w:tc>
          <w:tcPr>
            <w:tcW w:type="dxa" w:w="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6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Service KPI dictionary</w:t>
            </w:r>
          </w:p>
        </w:tc>
        <w:tc>
          <w:tcPr>
            <w:tcW w:type="dxa" w:w="5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Baseline, target, actual, cost, quality, source, owner, revision history</w:t>
            </w:r>
          </w:p>
        </w:tc>
        <w:tc>
          <w:tcPr>
            <w:tcW w:type="dxa" w:w="12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Quarterly data</w:t>
            </w:r>
          </w:p>
        </w:tc>
      </w:tr>
      <w:tr>
        <w:tc>
          <w:tcPr>
            <w:tcW w:type="dxa" w:w="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7</w:t>
            </w:r>
          </w:p>
        </w:tc>
        <w:tc>
          <w:tcPr>
            <w:tcW w:type="dxa" w:w="22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Internal-audit actions</w:t>
            </w:r>
          </w:p>
        </w:tc>
        <w:tc>
          <w:tcPr>
            <w:tcW w:type="dxa" w:w="54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Observation, management action, owner, dates, evidence, closure rationale</w:t>
            </w:r>
          </w:p>
        </w:tc>
        <w:tc>
          <w:tcPr>
            <w:tcW w:type="dxa" w:w="121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5"/>
              </w:rPr>
              <w:t>Each cycle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2B7A59"/>
          <w:left w:val="single" w:sz="6" w:color="2B7A59"/>
          <w:bottom w:val="single" w:sz="6" w:color="2B7A59"/>
          <w:right w:val="single" w:sz="6" w:color="2B7A59"/>
          <w:insideH w:val="single" w:sz="6" w:color="2B7A59"/>
          <w:insideV w:val="single" w:sz="6" w:color="2B7A59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E3F1EA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2B7A59"/>
                <w:sz w:val="19"/>
              </w:rPr>
              <w:t>MOTION-READY DIRECTION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8"/>
              </w:rPr>
              <w:t>That Civic Administration report back with a public, machine-readable municipal accountability ledger linking major capital projects, procurement awards and amendments, grants/CIP incentives, and housing investments to authority, financing, payment, schedule, output and closeout status; and identify fields that cannot be published and the legal basis for each exclusion.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Part 11 reform sequence · Companion workbook: Reforms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10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R1-R6: the transaction-level follow-through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Six filing-ready routes turn unknowns into defined evidence requests.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900"/>
        <w:gridCol w:w="1950"/>
        <w:gridCol w:w="5160"/>
        <w:gridCol w:w="1350"/>
      </w:tblGrid>
      <w:tr>
        <w:trPr>
          <w:tblHeader w:val="true"/>
        </w:trPr>
        <w:tc>
          <w:tcPr>
            <w:tcW w:type="dxa" w:w="9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Route</w:t>
            </w:r>
          </w:p>
        </w:tc>
        <w:tc>
          <w:tcPr>
            <w:tcW w:type="dxa" w:w="195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Subject</w:t>
            </w:r>
          </w:p>
        </w:tc>
        <w:tc>
          <w:tcPr>
            <w:tcW w:type="dxa" w:w="51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Core records</w:t>
            </w:r>
          </w:p>
        </w:tc>
        <w:tc>
          <w:tcPr>
            <w:tcW w:type="dxa" w:w="135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Period</w:t>
            </w:r>
          </w:p>
        </w:tc>
      </w:tr>
      <w:tr>
        <w:tc>
          <w:tcPr>
            <w:tcW w:type="dxa" w:w="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R1</w:t>
            </w:r>
          </w:p>
        </w:tc>
        <w:tc>
          <w:tcPr>
            <w:tcW w:type="dxa" w:w="19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Capital controls</w:t>
            </w:r>
          </w:p>
        </w:tc>
        <w:tc>
          <w:tcPr>
            <w:tcW w:type="dxa" w:w="5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Budgets, FAC, schedules, changes, progress, closeout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2014-2026</w:t>
            </w:r>
          </w:p>
        </w:tc>
      </w:tr>
      <w:tr>
        <w:tc>
          <w:tcPr>
            <w:tcW w:type="dxa" w:w="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R2</w:t>
            </w:r>
          </w:p>
        </w:tc>
        <w:tc>
          <w:tcPr>
            <w:tcW w:type="dxa" w:w="19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Procurement</w:t>
            </w:r>
          </w:p>
        </w:tc>
        <w:tc>
          <w:tcPr>
            <w:tcW w:type="dxa" w:w="5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Bids, exceptions, award values, amendments, performance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2017-2026</w:t>
            </w:r>
          </w:p>
        </w:tc>
      </w:tr>
      <w:tr>
        <w:tc>
          <w:tcPr>
            <w:tcW w:type="dxa" w:w="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R3</w:t>
            </w:r>
          </w:p>
        </w:tc>
        <w:tc>
          <w:tcPr>
            <w:tcW w:type="dxa" w:w="19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Workforce</w:t>
            </w:r>
          </w:p>
        </w:tc>
        <w:tc>
          <w:tcPr>
            <w:tcW w:type="dxa" w:w="5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FTE, hierarchy, vacancies, movements, overtime, contractors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2019-2026</w:t>
            </w:r>
          </w:p>
        </w:tc>
      </w:tr>
      <w:tr>
        <w:tc>
          <w:tcPr>
            <w:tcW w:type="dxa" w:w="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R4</w:t>
            </w:r>
          </w:p>
        </w:tc>
        <w:tc>
          <w:tcPr>
            <w:tcW w:type="dxa" w:w="19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Housing/Hubs</w:t>
            </w:r>
          </w:p>
        </w:tc>
        <w:tc>
          <w:tcPr>
            <w:tcW w:type="dxa" w:w="5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Stable project IDs, stages, contributions, anonymized outcomes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2021-2026</w:t>
            </w:r>
          </w:p>
        </w:tc>
      </w:tr>
      <w:tr>
        <w:tc>
          <w:tcPr>
            <w:tcW w:type="dxa" w:w="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R5</w:t>
            </w:r>
          </w:p>
        </w:tc>
        <w:tc>
          <w:tcPr>
            <w:tcW w:type="dxa" w:w="19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Service KPIs</w:t>
            </w:r>
          </w:p>
        </w:tc>
        <w:tc>
          <w:tcPr>
            <w:tcW w:type="dxa" w:w="5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Cost, volume, quality, timeliness, reliability, utilization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2019-2026</w:t>
            </w:r>
          </w:p>
        </w:tc>
      </w:tr>
      <w:tr>
        <w:tc>
          <w:tcPr>
            <w:tcW w:type="dxa" w:w="9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R6</w:t>
            </w:r>
          </w:p>
        </w:tc>
        <w:tc>
          <w:tcPr>
            <w:tcW w:type="dxa" w:w="19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Grants/CIPs</w:t>
            </w:r>
          </w:p>
        </w:tc>
        <w:tc>
          <w:tcPr>
            <w:tcW w:type="dxa" w:w="51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Requested, scored, approved, committed, paid, outcomes, closeout</w:t>
            </w:r>
          </w:p>
        </w:tc>
        <w:tc>
          <w:tcPr>
            <w:tcW w:type="dxa" w:w="135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6"/>
              </w:rPr>
              <w:t>2020-2026</w:t>
            </w:r>
          </w:p>
        </w:tc>
      </w:tr>
    </w:tbl>
    <w:p>
      <w:pPr>
        <w:pStyle w:val="Heading2"/>
      </w:pPr>
      <w:r>
        <w:t>90-day implementation sequence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1500"/>
        <w:gridCol w:w="4300"/>
        <w:gridCol w:w="3560"/>
      </w:tblGrid>
      <w:tr>
        <w:trPr>
          <w:tblHeader w:val="true"/>
        </w:trP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Window</w:t>
            </w:r>
          </w:p>
        </w:tc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Action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shd w:fill="ECF2F7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Deliverable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Days 0-30</w:t>
            </w:r>
          </w:p>
        </w:tc>
        <w:tc>
          <w:tcPr>
            <w:tcW w:type="dxa" w:w="4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File R1-R6; index first, fee estimates, rolling native production</w:t>
            </w:r>
          </w:p>
        </w:tc>
        <w:tc>
          <w:tcPr>
            <w:tcW w:type="dxa" w:w="35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Custodians, search terms, production schedule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Days 31-60</w:t>
            </w:r>
          </w:p>
        </w:tc>
        <w:tc>
          <w:tcPr>
            <w:tcW w:type="dxa" w:w="4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Normalize IDs, rebuild joins, send factual questions</w:t>
            </w:r>
          </w:p>
        </w:tc>
        <w:tc>
          <w:tcPr>
            <w:tcW w:type="dxa" w:w="35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Project, procurement, grant, housing master tables</w:t>
            </w:r>
          </w:p>
        </w:tc>
      </w:tr>
      <w:tr>
        <w:tc>
          <w:tcPr>
            <w:tcW w:type="dxa" w:w="15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Days 61-90</w:t>
            </w:r>
          </w:p>
        </w:tc>
        <w:tc>
          <w:tcPr>
            <w:tcW w:type="dxa" w:w="430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Publish exceptions with City responses and versioned calculations</w:t>
            </w:r>
          </w:p>
        </w:tc>
        <w:tc>
          <w:tcPr>
            <w:tcW w:type="dxa" w:w="356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Edition 5.1 transaction supplement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B76500"/>
          <w:left w:val="single" w:sz="6" w:color="B76500"/>
          <w:bottom w:val="single" w:sz="6" w:color="B76500"/>
          <w:right w:val="single" w:sz="6" w:color="B76500"/>
          <w:insideH w:val="single" w:sz="6" w:color="B76500"/>
          <w:insideV w:val="single" w:sz="6" w:color="B76500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F8EBD8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B76500"/>
                <w:sz w:val="19"/>
              </w:rPr>
              <w:t>PRIORITY ORDER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9"/>
              </w:rPr>
              <w:t>1) capital controls and amendments; 2) procurement bid/amendment join; 3) housing/grant project outcomes; 4) workforce and service productivity. This order targets the greatest risk of public misinterpretation first.</w:t>
            </w:r>
          </w:p>
        </w:tc>
      </w:tr>
    </w:tbl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Appendix A · R1-R6 · 90-day plan</w:t>
      </w:r>
    </w:p>
    <w:p>
      <w:r>
        <w:br w:type="page"/>
      </w:r>
    </w:p>
    <w:p>
      <w:pPr>
        <w:spacing w:before="0" w:after="100"/>
        <w:keepNext/>
      </w:pPr>
      <w:r>
        <w:rPr>
          <w:rFonts w:ascii="Calibri" w:hAnsi="Calibri"/>
          <w:b/>
          <w:caps/>
          <w:color w:val="1E67AA"/>
          <w:sz w:val="17"/>
        </w:rPr>
        <w:t>EXECUTIVE FINDINGS | 11</w:t>
      </w:r>
    </w:p>
    <w:p>
      <w:pPr>
        <w:pStyle w:val="Heading1"/>
        <w:keepNext/>
      </w:pPr>
      <w:r>
        <w:rPr>
          <w:rFonts w:ascii="Calibri" w:hAnsi="Calibri"/>
          <w:b/>
          <w:color w:val="1D3D64"/>
          <w:sz w:val="42"/>
        </w:rPr>
        <w:t>How to use the package</w:t>
      </w:r>
    </w:p>
    <w:p>
      <w:pPr>
        <w:spacing w:after="220"/>
      </w:pPr>
      <w:r>
        <w:rPr>
          <w:rFonts w:ascii="Calibri" w:hAnsi="Calibri"/>
          <w:color w:val="617184"/>
          <w:sz w:val="21"/>
        </w:rPr>
        <w:t>The brief is the entry point; the evidence trail remains the authority.</w:t>
      </w:r>
    </w:p>
    <w:p>
      <w:pPr>
        <w:pStyle w:val="Heading2"/>
      </w:pPr>
      <w:r>
        <w:t>Safe wording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B7C7D8"/>
          <w:left w:val="single" w:sz="4" w:color="B7C7D8"/>
          <w:bottom w:val="single" w:sz="4" w:color="B7C7D8"/>
          <w:right w:val="single" w:sz="4" w:color="B7C7D8"/>
          <w:insideH w:val="single" w:sz="4" w:color="B7C7D8"/>
          <w:insideV w:val="single" w:sz="4" w:color="B7C7D8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shd w:fill="E3F1EA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Use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shd w:fill="E3F1EA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D3D64"/>
                <w:sz w:val="16"/>
              </w:rPr>
              <w:t>Avoid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The 2026 budget update reports...</w:t>
            </w:r>
          </w:p>
        </w:tc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The City spent... when the source is authority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Of 1,978 posted awards scraped...</w:t>
            </w:r>
          </w:p>
        </w:tc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Of all City procurement...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The Sunshine List disclosure population...</w:t>
            </w:r>
          </w:p>
        </w:tc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City headcount or management complement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Permitted / planned / completed / occupied</w:t>
            </w:r>
          </w:p>
        </w:tc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Homes built for mixed stages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The record lacks an end-to-end reconciliation</w:t>
            </w:r>
          </w:p>
        </w:tc>
        <w:tc>
          <w:tcPr>
            <w:tcW w:type="dxa" w:w="4680"/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color w:val="152334"/>
                <w:sz w:val="17"/>
              </w:rPr>
              <w:t>Fraud, corruption, favouritism, or waste</w:t>
            </w:r>
          </w:p>
        </w:tc>
      </w:tr>
    </w:tbl>
    <w:p>
      <w:pPr>
        <w:pStyle w:val="Heading2"/>
      </w:pPr>
      <w:r>
        <w:t>Release map</w:t>
      </w:r>
    </w:p>
    <w:p>
      <w:pPr>
        <w:pStyle w:val="ListBullet"/>
        <w:spacing w:after="4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>Executive brief.</w:t>
      </w:r>
      <w:r>
        <w:rPr>
          <w:rFonts w:ascii="Calibri" w:hAnsi="Calibri"/>
          <w:color w:val="152334"/>
          <w:sz w:val="20"/>
        </w:rPr>
        <w:t xml:space="preserve"> The 12-page decision and outreach layer.</w:t>
      </w:r>
    </w:p>
    <w:p>
      <w:pPr>
        <w:pStyle w:val="ListBullet"/>
        <w:spacing w:after="4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>Final Public Edition 5.0.</w:t>
      </w:r>
      <w:r>
        <w:rPr>
          <w:rFonts w:ascii="Calibri" w:hAnsi="Calibri"/>
          <w:color w:val="152334"/>
          <w:sz w:val="20"/>
        </w:rPr>
        <w:t xml:space="preserve"> The canonical 40-page public report.</w:t>
      </w:r>
    </w:p>
    <w:p>
      <w:pPr>
        <w:pStyle w:val="ListBullet"/>
        <w:spacing w:after="4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>Evidence book.</w:t>
      </w:r>
      <w:r>
        <w:rPr>
          <w:rFonts w:ascii="Calibri" w:hAnsi="Calibri"/>
          <w:color w:val="152334"/>
          <w:sz w:val="20"/>
        </w:rPr>
        <w:t xml:space="preserve"> The 135-page expanded research and source-lock record.</w:t>
      </w:r>
    </w:p>
    <w:p>
      <w:pPr>
        <w:pStyle w:val="ListBullet"/>
        <w:spacing w:after="4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>Companion workbook.</w:t>
      </w:r>
      <w:r>
        <w:rPr>
          <w:rFonts w:ascii="Calibri" w:hAnsi="Calibri"/>
          <w:color w:val="152334"/>
          <w:sz w:val="20"/>
        </w:rPr>
        <w:t xml:space="preserve"> Claims, sources, calculations, dossiers, crosswalks, and R1-R6 in machine-readable form.</w:t>
      </w:r>
    </w:p>
    <w:p>
      <w:pPr>
        <w:pStyle w:val="ListBullet"/>
        <w:spacing w:after="4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>Reproducibility repository.</w:t>
      </w:r>
      <w:r>
        <w:rPr>
          <w:rFonts w:ascii="Calibri" w:hAnsi="Calibri"/>
          <w:color w:val="152334"/>
          <w:sz w:val="20"/>
        </w:rPr>
        <w:t xml:space="preserve"> Deterministic CSV extraction, calculation replay, tests, corrections, and publication rules.</w:t>
      </w:r>
    </w:p>
    <w:p>
      <w:pPr>
        <w:pStyle w:val="ListBullet"/>
        <w:spacing w:after="40" w:line="264" w:lineRule="auto"/>
        <w:ind w:left="720" w:hanging="360"/>
      </w:pPr>
      <w:r>
        <w:rPr>
          <w:rFonts w:ascii="Calibri" w:hAnsi="Calibri"/>
          <w:b/>
          <w:color w:val="152334"/>
          <w:sz w:val="20"/>
        </w:rPr>
        <w:t>Microsite prompt.</w:t>
      </w:r>
      <w:r>
        <w:rPr>
          <w:rFonts w:ascii="Calibri" w:hAnsi="Calibri"/>
          <w:color w:val="152334"/>
          <w:sz w:val="20"/>
        </w:rPr>
        <w:t xml:space="preserve"> A production specification for the public evidence explorer.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1E67AA"/>
          <w:left w:val="single" w:sz="6" w:color="1E67AA"/>
          <w:bottom w:val="single" w:sz="6" w:color="1E67AA"/>
          <w:right w:val="single" w:sz="6" w:color="1E67AA"/>
          <w:insideH w:val="single" w:sz="6" w:color="1E67AA"/>
          <w:insideV w:val="single" w:sz="6" w:color="1E67AA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shd w:fill="DCEAF6"/>
            <w:vAlign w:val="center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E67AA"/>
                <w:sz w:val="19"/>
              </w:rPr>
              <w:t>PUBLICATION RULE</w:t>
            </w:r>
          </w:p>
          <w:p>
            <w:pPr>
              <w:spacing w:after="0" w:line="259" w:lineRule="auto"/>
            </w:pPr>
            <w:r>
              <w:rPr>
                <w:rFonts w:ascii="Calibri" w:hAnsi="Calibri"/>
                <w:color w:val="152334"/>
                <w:sz w:val="19"/>
              </w:rPr>
              <w:t>Use only Final Public Edition 5.0 and later source-locked supplements for outreach. If a source changes, update the claim register and preserve the prior version rather than silently overwriting the evidence trail.</w:t>
            </w:r>
          </w:p>
        </w:tc>
      </w:tr>
    </w:tbl>
    <w:p>
      <w:pPr>
        <w:pStyle w:val="Heading2"/>
      </w:pPr>
      <w:r>
        <w:t>Selected source spine</w:t>
      </w:r>
    </w:p>
    <w:p>
      <w:pPr>
        <w:spacing w:before="0" w:after="60" w:line="264" w:lineRule="auto"/>
      </w:pPr>
      <w:r>
        <w:rPr>
          <w:rFonts w:ascii="Calibri" w:hAnsi="Calibri"/>
          <w:color w:val="152334"/>
          <w:sz w:val="21"/>
        </w:rPr>
        <w:t>S01 2026 Annual Budget Update · S02 2025 Annual Development Report · S04 Corporate Asset Management · S05 Bids and Tenders portal · S10 2025 DC Reserve Funds report · S12 2025 Consolidated Financial Statements · S14 Community Grants Program · S16 Grants audit follow-up · S19 Housing &amp; Homelessness supplement · S22 CEAP audit · S24 Audit Committee follow-up · S31 LTC Annual Report · S32 LPS Annual Report.</w:t>
      </w:r>
    </w:p>
    <w:p>
      <w:pPr>
        <w:spacing w:before="140" w:after="0"/>
      </w:pPr>
      <w:r>
        <w:rPr>
          <w:rFonts w:ascii="Calibri" w:hAnsi="Calibri"/>
          <w:b/>
          <w:color w:val="1E67AA"/>
          <w:sz w:val="15"/>
        </w:rPr>
        <w:t xml:space="preserve">SOURCE LOCK  </w:t>
      </w:r>
      <w:r>
        <w:rPr>
          <w:rFonts w:ascii="Calibri" w:hAnsi="Calibri"/>
          <w:color w:val="617184"/>
          <w:sz w:val="15"/>
        </w:rPr>
        <w:t>Complete 37-source register and URLs are provided in the companion workbook and repository.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17184"/>
        <w:sz w:val="16"/>
      </w:rPr>
      <w:t xml:space="preserve">Independent review  ·  Evidence lock 2026-08-20  ·  </w:t>
    </w:r>
    <w:r>
      <w:rPr>
        <w:rFonts w:ascii="Calibri" w:hAnsi="Calibri"/>
        <w:color w:val="617184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617184"/>
        <w:sz w:val="15"/>
      </w:rPr>
      <w:t>LONDON PUBLIC-RECORDS LEDGER  ·  EXECUTIVE FINDINGS BRIEF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1523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D3D6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E67A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74E8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4" w:lineRule="auto"/>
      <w:ind w:left="720" w:hanging="360"/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London Public-Records Ledger - Executive Findings Brief</dc:title>
  <dc:subject>Source-locked municipal accountability review</dc:subject>
  <dc:creator>Raj Gandhi</dc:creator>
  <cp:keywords>City of London, municipal accountability, public records, procurement, capital, housing, grants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