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10108"/>
      </w:tblGrid>
      <w:tr>
        <w:tc>
          <w:tcPr>
            <w:tcW w:type="dxa" w:w="10108"/>
            <w:shd w:fill="17365D"/>
            <w:tcMar>
              <w:top w:w="520" w:type="dxa"/>
              <w:start w:w="380" w:type="dxa"/>
              <w:bottom w:w="520" w:type="dxa"/>
              <w:end w:w="380" w:type="dxa"/>
            </w:tcMar>
          </w:tcPr>
          <w:p>
            <w:pPr>
              <w:jc w:val="center"/>
            </w:pPr>
            <w:r>
              <w:rPr>
                <w:rFonts w:ascii="Aptos" w:hAnsi="Aptos"/>
                <w:b/>
                <w:color w:val="D9EAF7"/>
                <w:sz w:val="20"/>
              </w:rPr>
              <w:t>CITY OF LONDON · ONTARIO</w:t>
            </w:r>
          </w:p>
          <w:p>
            <w:pPr>
              <w:spacing w:before="360"/>
              <w:jc w:val="center"/>
            </w:pPr>
            <w:r>
              <w:rPr>
                <w:rFonts w:ascii="Aptos Display" w:hAnsi="Aptos Display"/>
                <w:b/>
                <w:color w:val="FFFFFF"/>
                <w:sz w:val="60"/>
              </w:rPr>
              <w:t>THE PUBLIC-RECORDS</w:t>
              <w:br/>
              <w:t>LEDGER</w:t>
            </w:r>
          </w:p>
          <w:p>
            <w:pPr>
              <w:spacing w:before="280"/>
              <w:jc w:val="center"/>
            </w:pPr>
            <w:r>
              <w:rPr>
                <w:rFonts w:ascii="Aptos" w:hAnsi="Aptos"/>
                <w:b/>
                <w:color w:val="D9EAF7"/>
                <w:sz w:val="30"/>
              </w:rPr>
              <w:t>Final Public Edition 5.0</w:t>
            </w:r>
          </w:p>
          <w:p>
            <w:pPr>
              <w:spacing w:before="240"/>
              <w:jc w:val="center"/>
            </w:pPr>
            <w:r>
              <w:rPr>
                <w:rFonts w:ascii="Georgia" w:hAnsi="Georgia"/>
                <w:color w:val="FFFFFF"/>
                <w:sz w:val="22"/>
              </w:rPr>
              <w:t>A source-locked municipal accountability review</w:t>
              <w:br/>
              <w:t>with finished dispositions for all twelve research asks</w:t>
            </w:r>
          </w:p>
        </w:tc>
      </w:tr>
    </w:tbl>
    <w:p/>
    <w:tbl>
      <w:tblPr>
        <w:tblW w:type="auto" w:w="0"/>
        <w:jc w:val="center"/>
        <w:tblLayout w:type="fixed"/>
        <w:tblLook w:firstColumn="1" w:firstRow="1" w:lastColumn="0" w:lastRow="0" w:noHBand="0" w:noVBand="1" w:val="04A0"/>
      </w:tblPr>
      <w:tblGrid>
        <w:gridCol w:w="3369"/>
        <w:gridCol w:w="3369"/>
        <w:gridCol w:w="3369"/>
      </w:tblGrid>
      <w:tr>
        <w:tc>
          <w:tcPr>
            <w:tcW w:type="dxa" w:w="3288"/>
            <w:shd w:fill="EFF5F9"/>
            <w:tcMar>
              <w:top w:w="130" w:type="dxa"/>
              <w:start w:w="120" w:type="dxa"/>
              <w:bottom w:w="120" w:type="dxa"/>
              <w:end w:w="120" w:type="dxa"/>
            </w:tcMar>
            <w:tcBorders>
              <w:top w:val="single" w:sz="8" w:color="2F7D5A"/>
              <w:left w:val="single" w:sz="3" w:color="CBD6E0"/>
              <w:bottom w:val="single" w:sz="3" w:color="CBD6E0"/>
              <w:right w:val="single" w:sz="3" w:color="CBD6E0"/>
            </w:tcBorders>
          </w:tcPr>
          <w:p>
            <w:pPr>
              <w:jc w:val="center"/>
            </w:pPr>
            <w:r>
              <w:rPr>
                <w:rFonts w:ascii="Aptos Display" w:hAnsi="Aptos Display"/>
                <w:b/>
                <w:color w:val="2F7D5A"/>
                <w:sz w:val="34"/>
              </w:rPr>
              <w:t>12 / 12</w:t>
            </w:r>
          </w:p>
          <w:p>
            <w:pPr>
              <w:spacing w:after="40"/>
              <w:jc w:val="center"/>
            </w:pPr>
            <w:r>
              <w:rPr>
                <w:rFonts w:ascii="Aptos" w:hAnsi="Aptos"/>
                <w:b/>
                <w:color w:val="182433"/>
                <w:sz w:val="16"/>
              </w:rPr>
              <w:t>research asks dispositioned</w:t>
            </w:r>
          </w:p>
          <w:p>
            <w:pPr>
              <w:spacing w:after="0"/>
              <w:jc w:val="center"/>
            </w:pPr>
            <w:r>
              <w:rPr>
                <w:rFonts w:ascii="Aptos" w:hAnsi="Aptos"/>
                <w:color w:val="5E6B78"/>
                <w:sz w:val="14"/>
              </w:rPr>
              <w:t>No placeholder modules remain</w:t>
            </w:r>
          </w:p>
        </w:tc>
        <w:tc>
          <w:tcPr>
            <w:tcW w:type="dxa" w:w="3288"/>
            <w:shd w:fill="EFF5F9"/>
            <w:tcMar>
              <w:top w:w="130" w:type="dxa"/>
              <w:start w:w="120" w:type="dxa"/>
              <w:bottom w:w="120" w:type="dxa"/>
              <w:end w:w="120" w:type="dxa"/>
            </w:tcMar>
            <w:tcBorders>
              <w:top w:val="single" w:sz="8" w:color="2166A5"/>
              <w:left w:val="single" w:sz="3" w:color="CBD6E0"/>
              <w:bottom w:val="single" w:sz="3" w:color="CBD6E0"/>
              <w:right w:val="single" w:sz="3" w:color="CBD6E0"/>
            </w:tcBorders>
          </w:tcPr>
          <w:p>
            <w:pPr>
              <w:jc w:val="center"/>
            </w:pPr>
            <w:r>
              <w:rPr>
                <w:rFonts w:ascii="Aptos Display" w:hAnsi="Aptos Display"/>
                <w:b/>
                <w:color w:val="2166A5"/>
                <w:sz w:val="34"/>
              </w:rPr>
              <w:t>8</w:t>
            </w:r>
          </w:p>
          <w:p>
            <w:pPr>
              <w:spacing w:after="40"/>
              <w:jc w:val="center"/>
            </w:pPr>
            <w:r>
              <w:rPr>
                <w:rFonts w:ascii="Aptos" w:hAnsi="Aptos"/>
                <w:b/>
                <w:color w:val="182433"/>
                <w:sz w:val="16"/>
              </w:rPr>
              <w:t>built from public records</w:t>
            </w:r>
          </w:p>
          <w:p>
            <w:pPr>
              <w:spacing w:after="0"/>
              <w:jc w:val="center"/>
            </w:pPr>
            <w:r>
              <w:rPr>
                <w:rFonts w:ascii="Aptos" w:hAnsi="Aptos"/>
                <w:color w:val="5E6B78"/>
                <w:sz w:val="14"/>
              </w:rPr>
              <w:t>Evidence-complete at published depth</w:t>
            </w:r>
          </w:p>
        </w:tc>
        <w:tc>
          <w:tcPr>
            <w:tcW w:type="dxa" w:w="3288"/>
            <w:shd w:fill="EFF5F9"/>
            <w:tcMar>
              <w:top w:w="130" w:type="dxa"/>
              <w:start w:w="120" w:type="dxa"/>
              <w:bottom w:w="120" w:type="dxa"/>
              <w:end w:w="120" w:type="dxa"/>
            </w:tcMar>
            <w:tcBorders>
              <w:top w:val="single" w:sz="8" w:color="B36A00"/>
              <w:left w:val="single" w:sz="3" w:color="CBD6E0"/>
              <w:bottom w:val="single" w:sz="3" w:color="CBD6E0"/>
              <w:right w:val="single" w:sz="3" w:color="CBD6E0"/>
            </w:tcBorders>
          </w:tcPr>
          <w:p>
            <w:pPr>
              <w:jc w:val="center"/>
            </w:pPr>
            <w:r>
              <w:rPr>
                <w:rFonts w:ascii="Aptos Display" w:hAnsi="Aptos Display"/>
                <w:b/>
                <w:color w:val="B36A00"/>
                <w:sz w:val="34"/>
              </w:rPr>
              <w:t>4</w:t>
            </w:r>
          </w:p>
          <w:p>
            <w:pPr>
              <w:spacing w:after="40"/>
              <w:jc w:val="center"/>
            </w:pPr>
            <w:r>
              <w:rPr>
                <w:rFonts w:ascii="Aptos" w:hAnsi="Aptos"/>
                <w:b/>
                <w:color w:val="182433"/>
                <w:sz w:val="16"/>
              </w:rPr>
              <w:t>records-dependent</w:t>
            </w:r>
          </w:p>
          <w:p>
            <w:pPr>
              <w:spacing w:after="0"/>
              <w:jc w:val="center"/>
            </w:pPr>
            <w:r>
              <w:rPr>
                <w:rFonts w:ascii="Aptos" w:hAnsi="Aptos"/>
                <w:color w:val="5E6B78"/>
                <w:sz w:val="14"/>
              </w:rPr>
              <w:t>Filing-ready requests supplied</w:t>
            </w:r>
          </w:p>
        </w:tc>
      </w:tr>
    </w:tbl>
    <w:p>
      <w:pPr>
        <w:spacing w:after="0"/>
      </w:pPr>
    </w:p>
    <w:p>
      <w:pPr>
        <w:spacing w:before="400"/>
        <w:jc w:val="center"/>
      </w:pPr>
      <w:r>
        <w:rPr>
          <w:rFonts w:ascii="Aptos" w:hAnsi="Aptos"/>
          <w:b/>
          <w:color w:val="182433"/>
          <w:sz w:val="20"/>
        </w:rPr>
        <w:t>Prepared by Raj Gandhi</w:t>
        <w:br/>
      </w:r>
      <w:r>
        <w:rPr>
          <w:rFonts w:ascii="Aptos" w:hAnsi="Aptos"/>
          <w:b w:val="0"/>
          <w:color w:val="5E6B78"/>
          <w:sz w:val="18"/>
        </w:rPr>
        <w:t>Evidence lock: August 20, 2026</w:t>
        <w:br/>
      </w:r>
      <w:r>
        <w:rPr>
          <w:rFonts w:ascii="Aptos" w:hAnsi="Aptos"/>
          <w:b w:val="0"/>
          <w:color w:val="5E6B78"/>
          <w:sz w:val="16"/>
        </w:rPr>
        <w:t>Independent review — not an official audit or assurance engagement</w:t>
        <w:br/>
      </w:r>
    </w:p>
    <w:p>
      <w:pPr>
        <w:pageBreakBefore/>
        <w:spacing w:after="60"/>
      </w:pPr>
      <w:r>
        <w:rPr>
          <w:rFonts w:ascii="Aptos" w:hAnsi="Aptos"/>
          <w:b/>
          <w:color w:val="2166A5"/>
          <w:sz w:val="16"/>
        </w:rPr>
        <w:t>EDITION NOTE</w:t>
      </w:r>
    </w:p>
    <w:p>
      <w:pPr>
        <w:pStyle w:val="Heading1"/>
      </w:pPr>
      <w:r>
        <w:t>What the Final Public Edition delivers</w:t>
      </w:r>
    </w:p>
    <w:p>
      <w:pPr>
        <w:spacing w:after="100"/>
      </w:pPr>
      <w:r>
        <w:t>Edition 4.0 closed the analytical workflow. Final Public Edition 5.0 packages that source-locked work for public release: every original ask now ends in either a reproducible public-record finding or an exact request for the transaction-level records needed to finish testing.</w:t>
      </w:r>
    </w:p>
    <w:tbl>
      <w:tblPr>
        <w:tblW w:type="auto" w:w="0"/>
        <w:jc w:val="center"/>
        <w:tblLayout w:type="fixed"/>
        <w:tblLook w:firstColumn="1" w:firstRow="1" w:lastColumn="0" w:lastRow="0" w:noHBand="0" w:noVBand="1" w:val="04A0"/>
      </w:tblPr>
      <w:tblGrid>
        <w:gridCol w:w="115"/>
        <w:gridCol w:w="9648"/>
      </w:tblGrid>
      <w:tr>
        <w:tc>
          <w:tcPr>
            <w:tcW w:type="dxa" w:w="5054"/>
            <w:shd w:fill="2F7D5A"/>
            <w:tcMar>
              <w:top w:w="0" w:type="dxa"/>
              <w:start w:w="0" w:type="dxa"/>
              <w:bottom w:w="0" w:type="dxa"/>
              <w:end w:w="0" w:type="dxa"/>
            </w:tcMar>
          </w:tcPr>
          <w:p/>
        </w:tc>
        <w:tc>
          <w:tcPr>
            <w:tcW w:type="dxa" w:w="5054"/>
            <w:shd w:fill="E4F2EA"/>
            <w:tcMar>
              <w:top w:w="130" w:type="dxa"/>
              <w:start w:w="160" w:type="dxa"/>
              <w:bottom w:w="130" w:type="dxa"/>
              <w:end w:w="160" w:type="dxa"/>
            </w:tcMar>
            <w:tcBorders>
              <w:top w:val="single" w:sz="4" w:color="CBD6E0"/>
              <w:bottom w:val="single" w:sz="4" w:color="CBD6E0"/>
              <w:right w:val="single" w:sz="4" w:color="CBD6E0"/>
            </w:tcBorders>
          </w:tcPr>
          <w:p>
            <w:pPr>
              <w:spacing w:after="60"/>
            </w:pPr>
            <w:r>
              <w:rPr>
                <w:rFonts w:ascii="Aptos" w:hAnsi="Aptos"/>
                <w:b/>
                <w:color w:val="2F7D5A"/>
                <w:sz w:val="18"/>
              </w:rPr>
              <w:t>The governing conclusion</w:t>
            </w:r>
          </w:p>
          <w:p>
            <w:pPr>
              <w:spacing w:after="0" w:line="252" w:lineRule="auto"/>
            </w:pPr>
            <w:r>
              <w:t>The record supports a material disclosure-and-performance-measurement problem. It does not, by itself, establish fraud, corruption, favouritism, or waste. The strongest next move is targeted disclosure and traceable reconciliation—not allegation.</w:t>
            </w:r>
          </w:p>
        </w:tc>
      </w:tr>
    </w:tbl>
    <w:p>
      <w:pPr>
        <w:spacing w:after="0"/>
      </w:pPr>
    </w:p>
    <w:p>
      <w:pPr>
        <w:pStyle w:val="Heading2"/>
      </w:pPr>
      <w:r>
        <w:t>Material additions</w:t>
      </w:r>
    </w:p>
    <w:p>
      <w:pPr>
        <w:pStyle w:val="ListBullet"/>
        <w:spacing w:after="100"/>
        <w:ind w:left="317" w:hanging="173"/>
      </w:pPr>
      <w:r>
        <w:t>A two-page briefing prepared for Councillor Susan Stevenson, with questions and motion-ready disclosure asks.</w:t>
      </w:r>
    </w:p>
    <w:p>
      <w:pPr>
        <w:pStyle w:val="ListBullet"/>
        <w:spacing w:after="100"/>
        <w:ind w:left="317" w:hanging="173"/>
      </w:pPr>
      <w:r>
        <w:t>Current 2026 budget figures, a 2025 audited-financial update, and a reproducible three-scenario DC-reserve sensitivity test.</w:t>
      </w:r>
    </w:p>
    <w:p>
      <w:pPr>
        <w:pStyle w:val="ListBullet"/>
        <w:spacing w:after="100"/>
        <w:ind w:left="317" w:hanging="173"/>
      </w:pPr>
      <w:r>
        <w:t>A policy-versioned procurement compliance screen using the October 1, 2025 policy transition and the 2025 compliance reports.</w:t>
      </w:r>
    </w:p>
    <w:p>
      <w:pPr>
        <w:pStyle w:val="ListBullet"/>
        <w:spacing w:after="100"/>
        <w:ind w:left="317" w:hanging="173"/>
      </w:pPr>
      <w:r>
        <w:t>A 42-recipient, $9.2 million 2024–2027 community-grants ledger plus the City’s first outcome report and MNP’s two open control findings.</w:t>
      </w:r>
    </w:p>
    <w:p>
      <w:pPr>
        <w:pStyle w:val="ListBullet"/>
        <w:spacing w:after="100"/>
        <w:ind w:left="317" w:hanging="173"/>
      </w:pPr>
      <w:r>
        <w:t>A real housing-delivery ladder that separates permits, tracked affordable units, in-progress units, planned units, and occupied highly supportive housing.</w:t>
      </w:r>
    </w:p>
    <w:p>
      <w:pPr>
        <w:pStyle w:val="ListBullet"/>
        <w:spacing w:after="100"/>
        <w:ind w:left="317" w:hanging="173"/>
      </w:pPr>
      <w:r>
        <w:t>Built service modules for transit and police, and a disclosure-availability matrix with exact requests for fire, roads, water/wastewater, recreation, fleet, IT, real estate, legal/insurance, and incentives.</w:t>
      </w:r>
    </w:p>
    <w:p>
      <w:pPr>
        <w:pStyle w:val="ListBullet"/>
        <w:spacing w:after="100"/>
        <w:ind w:left="317" w:hanging="173"/>
      </w:pPr>
      <w:r>
        <w:t>A true crosswalk of published internal-audit reports, recommendations, management responses, deadlines, and follow-up status.</w:t>
      </w:r>
    </w:p>
    <w:p>
      <w:pPr>
        <w:pStyle w:val="ListBullet"/>
        <w:spacing w:after="100"/>
        <w:ind w:left="317" w:hanging="173"/>
      </w:pPr>
      <w:r>
        <w:t>A companion machine-readable evidence workbook containing the claim register, source register, calculations, project dossiers, audit crosswalk, reform sequence and records-request specifications.</w:t>
      </w:r>
    </w:p>
    <w:p>
      <w:pPr>
        <w:pStyle w:val="Heading2"/>
      </w:pPr>
      <w:r>
        <w:t>Corrections carried into this edition</w:t>
      </w:r>
    </w:p>
    <w:p>
      <w:pPr>
        <w:pStyle w:val="ListBullet"/>
        <w:spacing w:after="40"/>
        <w:ind w:left="317" w:hanging="173"/>
      </w:pPr>
      <w:r>
        <w:t>The 2023 maintain-current infrastructure gap rose 66.3% from the 2019 plan; it did not nearly double. It approximately doubled from the 2014 plan.</w:t>
      </w:r>
    </w:p>
    <w:p>
      <w:pPr>
        <w:pStyle w:val="ListBullet"/>
        <w:spacing w:after="40"/>
        <w:ind w:left="317" w:hanging="173"/>
      </w:pPr>
      <w:r>
        <w:t>HHI is presented only as a descriptive concentration statistic for the disclosed-value slice. It is not market concentration, and obsolete enforcement thresholds are not used.</w:t>
      </w:r>
    </w:p>
    <w:p>
      <w:pPr>
        <w:pStyle w:val="ListBullet"/>
        <w:spacing w:after="40"/>
        <w:ind w:left="317" w:hanging="173"/>
      </w:pPr>
      <w:r>
        <w:t>A favourable PSAB variance is described neutrally as actual exceeding the budgeted annual surplus—not as a service-performance win.</w:t>
      </w:r>
    </w:p>
    <w:p>
      <w:pPr>
        <w:pStyle w:val="ListBullet"/>
        <w:spacing w:after="40"/>
        <w:ind w:left="317" w:hanging="173"/>
      </w:pPr>
      <w:r>
        <w:t>Historical awards are tested against the policy version in force at the time, not retroactively against the October 2025 policy.</w:t>
      </w:r>
    </w:p>
    <w:p>
      <w:pPr>
        <w:pStyle w:val="ListBullet"/>
        <w:spacing w:after="40"/>
        <w:ind w:left="317" w:hanging="173"/>
      </w:pPr>
      <w:r>
        <w:t>The former claim that the internal-audit crosswalk was already built is withdrawn; the crosswalk is actually built in Part 9 of this edition.</w:t>
      </w:r>
    </w:p>
    <w:p>
      <w:pPr>
        <w:pageBreakBefore/>
        <w:spacing w:after="60"/>
      </w:pPr>
      <w:r>
        <w:rPr>
          <w:rFonts w:ascii="Aptos" w:hAnsi="Aptos"/>
          <w:b/>
          <w:color w:val="2166A5"/>
          <w:sz w:val="16"/>
        </w:rPr>
        <w:t>TWO-PAGE BRIEFING · PAGE 1 OF 2</w:t>
      </w:r>
    </w:p>
    <w:p>
      <w:pPr>
        <w:pStyle w:val="Heading1"/>
      </w:pPr>
      <w:r>
        <w:t>Briefing for Councillor Susan Stevenson</w:t>
      </w:r>
    </w:p>
    <w:p>
      <w:pPr>
        <w:spacing w:after="100"/>
      </w:pPr>
      <w:r>
        <w:rPr>
          <w:color w:val="5E6B78"/>
        </w:rPr>
        <w:t>Purpose: provide a short, evidence-safe set of questions for Audit Committee or Council. This note does not ask the recipient to endorse the report’s analysis; it asks for records and reconciliations that would let Council and the public test the City’s own published claims.</w:t>
      </w:r>
    </w:p>
    <w:tbl>
      <w:tblPr>
        <w:tblW w:type="auto" w:w="0"/>
        <w:jc w:val="center"/>
        <w:tblLayout w:type="fixed"/>
        <w:tblLook w:firstColumn="1" w:firstRow="1" w:lastColumn="0" w:lastRow="0" w:noHBand="0" w:noVBand="1" w:val="04A0"/>
      </w:tblPr>
      <w:tblGrid>
        <w:gridCol w:w="3369"/>
        <w:gridCol w:w="3369"/>
        <w:gridCol w:w="3369"/>
      </w:tblGrid>
      <w:tr>
        <w:tc>
          <w:tcPr>
            <w:tcW w:type="dxa" w:w="3288"/>
            <w:shd w:fill="EFF5F9"/>
            <w:tcMar>
              <w:top w:w="130" w:type="dxa"/>
              <w:start w:w="120" w:type="dxa"/>
              <w:bottom w:w="120" w:type="dxa"/>
              <w:end w:w="120" w:type="dxa"/>
            </w:tcMar>
            <w:tcBorders>
              <w:top w:val="single" w:sz="8" w:color="A33A3A"/>
              <w:left w:val="single" w:sz="3" w:color="CBD6E0"/>
              <w:bottom w:val="single" w:sz="3" w:color="CBD6E0"/>
              <w:right w:val="single" w:sz="3" w:color="CBD6E0"/>
            </w:tcBorders>
          </w:tcPr>
          <w:p>
            <w:pPr>
              <w:jc w:val="center"/>
            </w:pPr>
            <w:r>
              <w:rPr>
                <w:rFonts w:ascii="Aptos Display" w:hAnsi="Aptos Display"/>
                <w:b/>
                <w:color w:val="A33A3A"/>
                <w:sz w:val="34"/>
              </w:rPr>
              <w:t>70.5%</w:t>
            </w:r>
          </w:p>
          <w:p>
            <w:pPr>
              <w:spacing w:after="40"/>
              <w:jc w:val="center"/>
            </w:pPr>
            <w:r>
              <w:rPr>
                <w:rFonts w:ascii="Aptos" w:hAnsi="Aptos"/>
                <w:b/>
                <w:color w:val="182433"/>
                <w:sz w:val="16"/>
              </w:rPr>
              <w:t>posted award records without visible value</w:t>
            </w:r>
          </w:p>
          <w:p>
            <w:pPr>
              <w:spacing w:after="0"/>
              <w:jc w:val="center"/>
            </w:pPr>
            <w:r>
              <w:rPr>
                <w:rFonts w:ascii="Aptos" w:hAnsi="Aptos"/>
                <w:color w:val="5E6B78"/>
                <w:sz w:val="14"/>
              </w:rPr>
              <w:t>1,394 of 1,978 scraped records</w:t>
            </w:r>
          </w:p>
        </w:tc>
        <w:tc>
          <w:tcPr>
            <w:tcW w:type="dxa" w:w="3288"/>
            <w:shd w:fill="EFF5F9"/>
            <w:tcMar>
              <w:top w:w="130" w:type="dxa"/>
              <w:start w:w="120" w:type="dxa"/>
              <w:bottom w:w="120" w:type="dxa"/>
              <w:end w:w="120" w:type="dxa"/>
            </w:tcMar>
            <w:tcBorders>
              <w:top w:val="single" w:sz="8" w:color="B36A00"/>
              <w:left w:val="single" w:sz="3" w:color="CBD6E0"/>
              <w:bottom w:val="single" w:sz="3" w:color="CBD6E0"/>
              <w:right w:val="single" w:sz="3" w:color="CBD6E0"/>
            </w:tcBorders>
          </w:tcPr>
          <w:p>
            <w:pPr>
              <w:jc w:val="center"/>
            </w:pPr>
            <w:r>
              <w:rPr>
                <w:rFonts w:ascii="Aptos Display" w:hAnsi="Aptos Display"/>
                <w:b/>
                <w:color w:val="B36A00"/>
                <w:sz w:val="34"/>
              </w:rPr>
              <w:t>$946.1M</w:t>
            </w:r>
          </w:p>
          <w:p>
            <w:pPr>
              <w:spacing w:after="40"/>
              <w:jc w:val="center"/>
            </w:pPr>
            <w:r>
              <w:rPr>
                <w:rFonts w:ascii="Aptos" w:hAnsi="Aptos"/>
                <w:b/>
                <w:color w:val="182433"/>
                <w:sz w:val="16"/>
              </w:rPr>
              <w:t>10-year renewal gap</w:t>
            </w:r>
          </w:p>
          <w:p>
            <w:pPr>
              <w:spacing w:after="0"/>
              <w:jc w:val="center"/>
            </w:pPr>
            <w:r>
              <w:rPr>
                <w:rFonts w:ascii="Aptos" w:hAnsi="Aptos"/>
                <w:color w:val="5E6B78"/>
                <w:sz w:val="14"/>
              </w:rPr>
              <w:t>+66.3% from 2019</w:t>
            </w:r>
          </w:p>
        </w:tc>
        <w:tc>
          <w:tcPr>
            <w:tcW w:type="dxa" w:w="3288"/>
            <w:shd w:fill="EFF5F9"/>
            <w:tcMar>
              <w:top w:w="130" w:type="dxa"/>
              <w:start w:w="120" w:type="dxa"/>
              <w:bottom w:w="120" w:type="dxa"/>
              <w:end w:w="120" w:type="dxa"/>
            </w:tcMar>
            <w:tcBorders>
              <w:top w:val="single" w:sz="8" w:color="2166A5"/>
              <w:left w:val="single" w:sz="3" w:color="CBD6E0"/>
              <w:bottom w:val="single" w:sz="3" w:color="CBD6E0"/>
              <w:right w:val="single" w:sz="3" w:color="CBD6E0"/>
            </w:tcBorders>
          </w:tcPr>
          <w:p>
            <w:pPr>
              <w:jc w:val="center"/>
            </w:pPr>
            <w:r>
              <w:rPr>
                <w:rFonts w:ascii="Aptos Display" w:hAnsi="Aptos Display"/>
                <w:b/>
                <w:color w:val="2166A5"/>
                <w:sz w:val="34"/>
              </w:rPr>
              <w:t>$182.6M</w:t>
            </w:r>
          </w:p>
          <w:p>
            <w:pPr>
              <w:spacing w:after="40"/>
              <w:jc w:val="center"/>
            </w:pPr>
            <w:r>
              <w:rPr>
                <w:rFonts w:ascii="Aptos" w:hAnsi="Aptos"/>
                <w:b/>
                <w:color w:val="182433"/>
                <w:sz w:val="16"/>
              </w:rPr>
              <w:t>2025 PSAB surplus over budget</w:t>
            </w:r>
          </w:p>
          <w:p>
            <w:pPr>
              <w:spacing w:after="0"/>
              <w:jc w:val="center"/>
            </w:pPr>
            <w:r>
              <w:rPr>
                <w:rFonts w:ascii="Aptos" w:hAnsi="Aptos"/>
                <w:color w:val="5E6B78"/>
                <w:sz w:val="14"/>
              </w:rPr>
              <w:t>Audited statement; not cash surplus</w:t>
            </w:r>
          </w:p>
        </w:tc>
      </w:tr>
    </w:tbl>
    <w:p>
      <w:pPr>
        <w:spacing w:after="0"/>
      </w:pPr>
    </w:p>
    <w:p>
      <w:pPr>
        <w:pStyle w:val="Heading2"/>
      </w:pPr>
      <w:r>
        <w:t>What is now firmly in the record</w:t>
      </w:r>
    </w:p>
    <w:p>
      <w:pPr>
        <w:pStyle w:val="ListNumber"/>
        <w:spacing w:after="60"/>
        <w:ind w:left="403" w:hanging="259"/>
      </w:pPr>
      <w:r>
        <w:t>The City publishes large capital, reserve, grant, housing and service numbers, but the records often stop before an end-to-end budget → award → amendment → payment → output reconciliation.</w:t>
      </w:r>
    </w:p>
    <w:p>
      <w:pPr>
        <w:pStyle w:val="ListNumber"/>
        <w:spacing w:after="60"/>
        <w:ind w:left="403" w:hanging="259"/>
      </w:pPr>
      <w:r>
        <w:t>The 2025 DC reserve report shows contributions of $68.5 million, disbursements of $106.2 million and a closing balance of $327.1 million across the eleven funds; that is a $37.7 million net draw in one year.</w:t>
      </w:r>
    </w:p>
    <w:p>
      <w:pPr>
        <w:pStyle w:val="ListNumber"/>
        <w:spacing w:after="60"/>
        <w:ind w:left="403" w:hanging="259"/>
      </w:pPr>
      <w:r>
        <w:t>London’s 2025 development report tracks 2,576 City-funded affordable units, but only 44 City-led highly supportive housing units are explicitly described as completed and occupied. The stages are not interchangeable.</w:t>
      </w:r>
    </w:p>
    <w:p>
      <w:pPr>
        <w:pStyle w:val="ListNumber"/>
        <w:spacing w:after="60"/>
        <w:ind w:left="403" w:hanging="259"/>
      </w:pPr>
      <w:r>
        <w:t>The 2024–2027 community-grants cycle names 42 recipients and $9.2 million. MNP found no documented score-to-award threshold and no mandatory panel scoring rationale in SmartSimple; both actions remain on track for Q4 2027.</w:t>
      </w:r>
    </w:p>
    <w:p>
      <w:pPr>
        <w:pStyle w:val="ListNumber"/>
        <w:spacing w:after="60"/>
        <w:ind w:left="403" w:hanging="259"/>
      </w:pPr>
      <w:r>
        <w:t>The City’s outsourced internal auditor has now reported on grants, homelessness, performance measurement, CIPs, the CEAP and subdivision review. Follow-up reporting exists, but the public-facing program/project ledgers still do not consistently join money to outputs.</w:t>
      </w:r>
    </w:p>
    <w:tbl>
      <w:tblPr>
        <w:tblW w:type="auto" w:w="0"/>
        <w:jc w:val="center"/>
        <w:tblLayout w:type="fixed"/>
        <w:tblLook w:firstColumn="1" w:firstRow="1" w:lastColumn="0" w:lastRow="0" w:noHBand="0" w:noVBand="1" w:val="04A0"/>
      </w:tblPr>
      <w:tblGrid>
        <w:gridCol w:w="115"/>
        <w:gridCol w:w="9648"/>
      </w:tblGrid>
      <w:tr>
        <w:tc>
          <w:tcPr>
            <w:tcW w:type="dxa" w:w="5054"/>
            <w:shd w:fill="2166A5"/>
            <w:tcMar>
              <w:top w:w="0" w:type="dxa"/>
              <w:start w:w="0" w:type="dxa"/>
              <w:bottom w:w="0" w:type="dxa"/>
              <w:end w:w="0" w:type="dxa"/>
            </w:tcMar>
          </w:tcPr>
          <w:p/>
        </w:tc>
        <w:tc>
          <w:tcPr>
            <w:tcW w:type="dxa" w:w="5054"/>
            <w:shd w:fill="D9EAF7"/>
            <w:tcMar>
              <w:top w:w="130" w:type="dxa"/>
              <w:start w:w="160" w:type="dxa"/>
              <w:bottom w:w="130" w:type="dxa"/>
              <w:end w:w="160" w:type="dxa"/>
            </w:tcMar>
            <w:tcBorders>
              <w:top w:val="single" w:sz="4" w:color="CBD6E0"/>
              <w:bottom w:val="single" w:sz="4" w:color="CBD6E0"/>
              <w:right w:val="single" w:sz="4" w:color="CBD6E0"/>
            </w:tcBorders>
          </w:tcPr>
          <w:p>
            <w:pPr>
              <w:spacing w:after="60"/>
            </w:pPr>
            <w:r>
              <w:rPr>
                <w:rFonts w:ascii="Aptos" w:hAnsi="Aptos"/>
                <w:b/>
                <w:color w:val="2166A5"/>
                <w:sz w:val="18"/>
              </w:rPr>
              <w:t>Best single question</w:t>
            </w:r>
          </w:p>
          <w:p>
            <w:pPr>
              <w:spacing w:after="0" w:line="252" w:lineRule="auto"/>
            </w:pPr>
            <w:r>
              <w:t>Will administration publish, for every major capital project and incentive program, one machine-readable row connecting original authority, current budget, award, amendments, committed amount, paid amount, schedule, output and closeout status?</w:t>
            </w:r>
          </w:p>
        </w:tc>
      </w:tr>
    </w:tbl>
    <w:p>
      <w:pPr>
        <w:spacing w:after="0"/>
      </w:pPr>
    </w:p>
    <w:p>
      <w:pPr>
        <w:spacing w:before="40" w:after="100"/>
      </w:pPr>
      <w:r>
        <w:rPr>
          <w:rFonts w:ascii="Aptos" w:hAnsi="Aptos"/>
          <w:b/>
          <w:color w:val="2166A5"/>
          <w:sz w:val="14"/>
        </w:rPr>
        <w:t xml:space="preserve">SOURCE LOCK  </w:t>
      </w:r>
      <w:r>
        <w:rPr>
          <w:rFonts w:ascii="Aptos" w:hAnsi="Aptos"/>
          <w:b/>
          <w:color w:val="182433"/>
          <w:sz w:val="14"/>
        </w:rPr>
        <w:t>S02, S10, S12, S14–S24</w:t>
      </w:r>
      <w:r>
        <w:rPr>
          <w:rFonts w:ascii="Aptos" w:hAnsi="Aptos"/>
          <w:color w:val="5E6B78"/>
          <w:sz w:val="14"/>
        </w:rPr>
        <w:t xml:space="preserve">  ·  All figures and audit-status statements are traceable in the source register.</w:t>
      </w:r>
    </w:p>
    <w:p>
      <w:pPr>
        <w:keepNext/>
        <w:pageBreakBefore/>
        <w:spacing w:after="60"/>
      </w:pPr>
      <w:r>
        <w:rPr>
          <w:rFonts w:ascii="Aptos" w:hAnsi="Aptos"/>
          <w:b/>
          <w:color w:val="2166A5"/>
          <w:sz w:val="16"/>
        </w:rPr>
        <w:t>TWO-PAGE BRIEFING · PAGE 2 OF 2</w:t>
      </w:r>
    </w:p>
    <w:p>
      <w:pPr>
        <w:pStyle w:val="Heading1"/>
      </w:pPr>
      <w:r>
        <w:t>Questions and motion-ready disclosure asks</w:t>
      </w:r>
    </w:p>
    <w:p>
      <w:pPr>
        <w:pStyle w:val="Heading2"/>
      </w:pPr>
      <w:r>
        <w:t>Six questions</w:t>
      </w:r>
    </w:p>
    <w:p>
      <w:pPr>
        <w:pStyle w:val="ListNumber"/>
        <w:spacing w:after="60"/>
        <w:ind w:left="403" w:hanging="259"/>
      </w:pPr>
      <w:r>
        <w:t>Capital: For each project over $10 million, what are the original approved budget and schedule, current forecast-at-completion, approved amendments, committed amount, paid amount and physical completion percentage?</w:t>
      </w:r>
    </w:p>
    <w:p>
      <w:pPr>
        <w:pStyle w:val="ListNumber"/>
        <w:spacing w:after="60"/>
        <w:ind w:left="403" w:hanging="259"/>
      </w:pPr>
      <w:r>
        <w:t>Procurement: Can the 2025 Annual Procurement Compliance Review and biannual award reports be published as a row-level machine-readable dataset, including limited-tendering authority, amendment value and Council approval reference?</w:t>
      </w:r>
    </w:p>
    <w:p>
      <w:pPr>
        <w:pStyle w:val="ListNumber"/>
        <w:spacing w:after="60"/>
        <w:ind w:left="403" w:hanging="259"/>
      </w:pPr>
      <w:r>
        <w:t>Workforce: Will the City publish annual FTE, vacancy, overtime, turnover, span-of-control and contractor-equivalent data by service and management layer?</w:t>
      </w:r>
    </w:p>
    <w:p>
      <w:pPr>
        <w:pStyle w:val="ListNumber"/>
        <w:spacing w:after="60"/>
        <w:ind w:left="403" w:hanging="259"/>
      </w:pPr>
      <w:r>
        <w:t>Housing: Can the City publish stable project identifiers that connect application, approval, permit, start, completion, occupancy, affordability term, municipal contribution and ongoing monitoring?</w:t>
      </w:r>
    </w:p>
    <w:p>
      <w:pPr>
        <w:pStyle w:val="ListNumber"/>
        <w:spacing w:after="60"/>
        <w:ind w:left="403" w:hanging="259"/>
      </w:pPr>
      <w:r>
        <w:t>Grants and CIPs: Will the City publish the application score, rationale, amount requested/approved/paid, agreement milestones, outcome measures, closeout and clawback status for every recipient?</w:t>
      </w:r>
    </w:p>
    <w:p>
      <w:pPr>
        <w:pStyle w:val="ListNumber"/>
        <w:spacing w:after="60"/>
        <w:ind w:left="403" w:hanging="259"/>
      </w:pPr>
      <w:r>
        <w:t>Internal audit: Can the follow-up dashboard include the full management action, accountable owner, original due date, revised due date, evidence of closure and public link to the underlying deliverable?</w:t>
      </w:r>
    </w:p>
    <w:p>
      <w:pPr>
        <w:pStyle w:val="Heading2"/>
      </w:pPr>
      <w:r>
        <w:t>Draft direction for consideration</w:t>
      </w:r>
    </w:p>
    <w:tbl>
      <w:tblPr>
        <w:tblW w:type="auto" w:w="0"/>
        <w:jc w:val="center"/>
        <w:tblLayout w:type="fixed"/>
        <w:tblLook w:firstColumn="1" w:firstRow="1" w:lastColumn="0" w:lastRow="0" w:noHBand="0" w:noVBand="1" w:val="04A0"/>
      </w:tblPr>
      <w:tblGrid>
        <w:gridCol w:w="115"/>
        <w:gridCol w:w="9648"/>
      </w:tblGrid>
      <w:tr>
        <w:tc>
          <w:tcPr>
            <w:tcW w:type="dxa" w:w="5054"/>
            <w:shd w:fill="2F7D5A"/>
            <w:tcMar>
              <w:top w:w="0" w:type="dxa"/>
              <w:start w:w="0" w:type="dxa"/>
              <w:bottom w:w="0" w:type="dxa"/>
              <w:end w:w="0" w:type="dxa"/>
            </w:tcMar>
          </w:tcPr>
          <w:p/>
        </w:tc>
        <w:tc>
          <w:tcPr>
            <w:tcW w:type="dxa" w:w="5054"/>
            <w:shd w:fill="E4F2EA"/>
            <w:tcMar>
              <w:top w:w="130" w:type="dxa"/>
              <w:start w:w="160" w:type="dxa"/>
              <w:bottom w:w="130" w:type="dxa"/>
              <w:end w:w="160" w:type="dxa"/>
            </w:tcMar>
            <w:tcBorders>
              <w:top w:val="single" w:sz="4" w:color="CBD6E0"/>
              <w:bottom w:val="single" w:sz="4" w:color="CBD6E0"/>
              <w:right w:val="single" w:sz="4" w:color="CBD6E0"/>
            </w:tcBorders>
          </w:tcPr>
          <w:p>
            <w:pPr>
              <w:spacing w:after="60"/>
            </w:pPr>
            <w:r>
              <w:rPr>
                <w:rFonts w:ascii="Aptos" w:hAnsi="Aptos"/>
                <w:b/>
                <w:color w:val="2F7D5A"/>
                <w:sz w:val="18"/>
              </w:rPr>
              <w:t>Proposed wording</w:t>
            </w:r>
          </w:p>
          <w:p>
            <w:pPr>
              <w:spacing w:after="0" w:line="252" w:lineRule="auto"/>
            </w:pPr>
            <w:r>
              <w:t>That Civic Administration report back with a public, machine-readable municipal accountability ledger linking major capital projects, procurement awards and amendments, grants/CIP incentives, and housing investments to authority, financing, payment, schedule, output and closeout status; and that the report identify fields that cannot be published and the legal basis for each exclusion.</w:t>
            </w:r>
          </w:p>
        </w:tc>
      </w:tr>
    </w:tbl>
    <w:p>
      <w:pPr>
        <w:spacing w:after="0"/>
      </w:pPr>
    </w:p>
    <w:p>
      <w:pPr>
        <w:pStyle w:val="SmallNote"/>
        <w:spacing w:after="100"/>
      </w:pPr>
      <w:r>
        <w:t>If Council prefers a narrower first step, the same direction can be piloted on: Highbury Facility rebuild; Mud Creek Phase 2B; Wharncliffe/Horton; the 2024–2027 Community Grants cycle; Hubs; and Office-to-Residential incentives.</w:t>
      </w:r>
    </w:p>
    <w:p>
      <w:pPr>
        <w:pStyle w:val="Heading2"/>
      </w:pPr>
      <w:r>
        <w:t>What not to say</w:t>
      </w:r>
    </w:p>
    <w:p>
      <w:pPr>
        <w:pStyle w:val="ListBullet"/>
        <w:spacing w:after="40"/>
        <w:ind w:left="317" w:hanging="173"/>
      </w:pPr>
      <w:r>
        <w:t>Do not call a budget, allocation or maximum a payment.</w:t>
      </w:r>
    </w:p>
    <w:p>
      <w:pPr>
        <w:pStyle w:val="ListBullet"/>
        <w:spacing w:after="40"/>
        <w:ind w:left="317" w:hanging="173"/>
      </w:pPr>
      <w:r>
        <w:t>Do not treat an application, permit, start, completion and occupancy as the same housing stage.</w:t>
      </w:r>
    </w:p>
    <w:p>
      <w:pPr>
        <w:pStyle w:val="ListBullet"/>
        <w:spacing w:after="40"/>
        <w:ind w:left="317" w:hanging="173"/>
      </w:pPr>
      <w:r>
        <w:t>Do not infer sole-sourcing or favouritism from vendor share or an absent posted dollar value.</w:t>
      </w:r>
    </w:p>
    <w:p>
      <w:pPr>
        <w:pStyle w:val="ListBullet"/>
        <w:spacing w:after="40"/>
        <w:ind w:left="317" w:hanging="173"/>
      </w:pPr>
      <w:r>
        <w:t>Do not use the Sunshine List as total workforce headcount.</w:t>
      </w:r>
    </w:p>
    <w:p>
      <w:pPr>
        <w:pageBreakBefore/>
        <w:spacing w:after="60"/>
      </w:pPr>
      <w:r>
        <w:rPr>
          <w:rFonts w:ascii="Aptos" w:hAnsi="Aptos"/>
          <w:b/>
          <w:color w:val="2166A5"/>
          <w:sz w:val="16"/>
        </w:rPr>
        <w:t>NAVIGATION</w:t>
      </w:r>
    </w:p>
    <w:p>
      <w:pPr>
        <w:pStyle w:val="Heading1"/>
      </w:pPr>
      <w:r>
        <w:t>Contents</w:t>
      </w:r>
    </w:p>
    <w:p>
      <w:pPr>
        <w:pStyle w:val="SmallNote"/>
        <w:spacing w:after="100"/>
      </w:pPr>
      <w:r>
        <w:t>Use Word’s Navigation pane to jump among the heading levels. The map below is deliberately static so it remains visible in PDF and preview renders; Word can also build a page-numbered table from the embedded heading structure.</w:t>
      </w:r>
    </w:p>
    <w:tbl>
      <w:tblPr>
        <w:tblW w:type="auto" w:w="0"/>
        <w:jc w:val="center"/>
        <w:tblLayout w:type="fixed"/>
        <w:tblLook w:firstColumn="1" w:firstRow="1" w:lastColumn="0" w:lastRow="0" w:noHBand="0" w:noVBand="1" w:val="04A0"/>
      </w:tblPr>
      <w:tblGrid>
        <w:gridCol w:w="2527"/>
        <w:gridCol w:w="2527"/>
        <w:gridCol w:w="2527"/>
        <w:gridCol w:w="2527"/>
      </w:tblGrid>
      <w:tr>
        <w:trPr>
          <w:tblHeader w:val="true"/>
        </w:trPr>
        <w:tc>
          <w:tcPr>
            <w:tcW w:type="dxa" w:w="1224"/>
            <w:shd w:fill="17365D"/>
            <w:tcMar>
              <w:top w:w="90" w:type="dxa"/>
              <w:start w:w="90" w:type="dxa"/>
              <w:bottom w:w="90" w:type="dxa"/>
              <w:end w:w="90" w:type="dxa"/>
            </w:tcMar>
          </w:tcPr>
          <w:p>
            <w:pPr>
              <w:spacing w:after="0"/>
            </w:pPr>
            <w:r>
              <w:rPr>
                <w:rFonts w:ascii="Aptos" w:hAnsi="Aptos"/>
                <w:b/>
                <w:color w:val="FFFFFF"/>
                <w:sz w:val="15"/>
              </w:rPr>
              <w:t>Section</w:t>
            </w:r>
          </w:p>
        </w:tc>
        <w:tc>
          <w:tcPr>
            <w:tcW w:type="dxa" w:w="3672"/>
            <w:shd w:fill="17365D"/>
            <w:tcMar>
              <w:top w:w="90" w:type="dxa"/>
              <w:start w:w="90" w:type="dxa"/>
              <w:bottom w:w="90" w:type="dxa"/>
              <w:end w:w="90" w:type="dxa"/>
            </w:tcMar>
          </w:tcPr>
          <w:p>
            <w:pPr>
              <w:spacing w:after="0"/>
            </w:pPr>
            <w:r>
              <w:rPr>
                <w:rFonts w:ascii="Aptos" w:hAnsi="Aptos"/>
                <w:b/>
                <w:color w:val="FFFFFF"/>
                <w:sz w:val="15"/>
              </w:rPr>
              <w:t>Subject</w:t>
            </w:r>
          </w:p>
        </w:tc>
        <w:tc>
          <w:tcPr>
            <w:tcW w:type="dxa" w:w="1224"/>
            <w:shd w:fill="17365D"/>
            <w:tcMar>
              <w:top w:w="90" w:type="dxa"/>
              <w:start w:w="90" w:type="dxa"/>
              <w:bottom w:w="90" w:type="dxa"/>
              <w:end w:w="90" w:type="dxa"/>
            </w:tcMar>
          </w:tcPr>
          <w:p>
            <w:pPr>
              <w:spacing w:after="0"/>
            </w:pPr>
            <w:r>
              <w:rPr>
                <w:rFonts w:ascii="Aptos" w:hAnsi="Aptos"/>
                <w:b/>
                <w:color w:val="FFFFFF"/>
                <w:sz w:val="15"/>
              </w:rPr>
              <w:t>Section</w:t>
            </w:r>
          </w:p>
        </w:tc>
        <w:tc>
          <w:tcPr>
            <w:tcW w:type="dxa" w:w="3672"/>
            <w:shd w:fill="17365D"/>
            <w:tcMar>
              <w:top w:w="90" w:type="dxa"/>
              <w:start w:w="90" w:type="dxa"/>
              <w:bottom w:w="90" w:type="dxa"/>
              <w:end w:w="90" w:type="dxa"/>
            </w:tcMar>
          </w:tcPr>
          <w:p>
            <w:pPr>
              <w:spacing w:after="0"/>
            </w:pPr>
            <w:r>
              <w:rPr>
                <w:rFonts w:ascii="Aptos" w:hAnsi="Aptos"/>
                <w:b/>
                <w:color w:val="FFFFFF"/>
                <w:sz w:val="15"/>
              </w:rPr>
              <w:t>Subject</w:t>
            </w:r>
          </w:p>
        </w:tc>
      </w:tr>
      <w:tr>
        <w:trPr>
          <w:cantSplit/>
        </w:trPr>
        <w:tc>
          <w:tcPr>
            <w:tcW w:type="dxa" w:w="1224"/>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5"/>
              </w:rPr>
              <w:t>Part 1</w:t>
            </w:r>
          </w:p>
        </w:tc>
        <w:tc>
          <w:tcPr>
            <w:tcW w:type="dxa" w:w="3672"/>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5"/>
              </w:rPr>
              <w:t>Executive verdict and closure ledger</w:t>
            </w:r>
          </w:p>
        </w:tc>
        <w:tc>
          <w:tcPr>
            <w:tcW w:type="dxa" w:w="1224"/>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5"/>
              </w:rPr>
              <w:t>Part 7</w:t>
            </w:r>
          </w:p>
        </w:tc>
        <w:tc>
          <w:tcPr>
            <w:tcW w:type="dxa" w:w="3672"/>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5"/>
              </w:rPr>
              <w:t>Housing delivery and homelessness</w:t>
            </w:r>
          </w:p>
        </w:tc>
      </w:tr>
      <w:tr>
        <w:trPr>
          <w:cantSplit/>
        </w:trPr>
        <w:tc>
          <w:tcPr>
            <w:tcW w:type="dxa" w:w="1224"/>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5"/>
              </w:rPr>
              <w:t>Part 2</w:t>
            </w:r>
          </w:p>
        </w:tc>
        <w:tc>
          <w:tcPr>
            <w:tcW w:type="dxa" w:w="3672"/>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5"/>
              </w:rPr>
              <w:t>Verification standard, scope and method</w:t>
            </w:r>
          </w:p>
        </w:tc>
        <w:tc>
          <w:tcPr>
            <w:tcW w:type="dxa" w:w="1224"/>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5"/>
              </w:rPr>
              <w:t>Part 8</w:t>
            </w:r>
          </w:p>
        </w:tc>
        <w:tc>
          <w:tcPr>
            <w:tcW w:type="dxa" w:w="3672"/>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5"/>
              </w:rPr>
              <w:t>Community grants and CIP incentives</w:t>
            </w:r>
          </w:p>
        </w:tc>
      </w:tr>
      <w:tr>
        <w:trPr>
          <w:cantSplit/>
        </w:trPr>
        <w:tc>
          <w:tcPr>
            <w:tcW w:type="dxa" w:w="1224"/>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5"/>
              </w:rPr>
              <w:t>Part 3</w:t>
            </w:r>
          </w:p>
        </w:tc>
        <w:tc>
          <w:tcPr>
            <w:tcW w:type="dxa" w:w="3672"/>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5"/>
              </w:rPr>
              <w:t>Financial baseline and condition</w:t>
            </w:r>
          </w:p>
        </w:tc>
        <w:tc>
          <w:tcPr>
            <w:tcW w:type="dxa" w:w="1224"/>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5"/>
              </w:rPr>
              <w:t>Part 9</w:t>
            </w:r>
          </w:p>
        </w:tc>
        <w:tc>
          <w:tcPr>
            <w:tcW w:type="dxa" w:w="3672"/>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5"/>
              </w:rPr>
              <w:t>Service-specific performance modules</w:t>
            </w:r>
          </w:p>
        </w:tc>
      </w:tr>
      <w:tr>
        <w:trPr>
          <w:cantSplit/>
        </w:trPr>
        <w:tc>
          <w:tcPr>
            <w:tcW w:type="dxa" w:w="1224"/>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5"/>
              </w:rPr>
              <w:t>Part 4</w:t>
            </w:r>
          </w:p>
        </w:tc>
        <w:tc>
          <w:tcPr>
            <w:tcW w:type="dxa" w:w="3672"/>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5"/>
              </w:rPr>
              <w:t>Capital condition and project dossiers</w:t>
            </w:r>
          </w:p>
        </w:tc>
        <w:tc>
          <w:tcPr>
            <w:tcW w:type="dxa" w:w="1224"/>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5"/>
              </w:rPr>
              <w:t>Part 10</w:t>
            </w:r>
          </w:p>
        </w:tc>
        <w:tc>
          <w:tcPr>
            <w:tcW w:type="dxa" w:w="3672"/>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5"/>
              </w:rPr>
              <w:t>Strategy-to-output and internal audit</w:t>
            </w:r>
          </w:p>
        </w:tc>
      </w:tr>
      <w:tr>
        <w:trPr>
          <w:cantSplit/>
        </w:trPr>
        <w:tc>
          <w:tcPr>
            <w:tcW w:type="dxa" w:w="1224"/>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5"/>
              </w:rPr>
              <w:t>Part 5</w:t>
            </w:r>
          </w:p>
        </w:tc>
        <w:tc>
          <w:tcPr>
            <w:tcW w:type="dxa" w:w="3672"/>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5"/>
              </w:rPr>
              <w:t>Procurement compliance screen</w:t>
            </w:r>
          </w:p>
        </w:tc>
        <w:tc>
          <w:tcPr>
            <w:tcW w:type="dxa" w:w="1224"/>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5"/>
              </w:rPr>
              <w:t>Part 11</w:t>
            </w:r>
          </w:p>
        </w:tc>
        <w:tc>
          <w:tcPr>
            <w:tcW w:type="dxa" w:w="3672"/>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5"/>
              </w:rPr>
              <w:t>Reforms and implementation sequence</w:t>
            </w:r>
          </w:p>
        </w:tc>
      </w:tr>
      <w:tr>
        <w:trPr>
          <w:cantSplit/>
        </w:trPr>
        <w:tc>
          <w:tcPr>
            <w:tcW w:type="dxa" w:w="1224"/>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5"/>
              </w:rPr>
              <w:t>Part 6</w:t>
            </w:r>
          </w:p>
        </w:tc>
        <w:tc>
          <w:tcPr>
            <w:tcW w:type="dxa" w:w="3672"/>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5"/>
              </w:rPr>
              <w:t>Workforce and productivity</w:t>
            </w:r>
          </w:p>
        </w:tc>
        <w:tc>
          <w:tcPr>
            <w:tcW w:type="dxa" w:w="1224"/>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5"/>
              </w:rPr>
              <w:t>Appendix A</w:t>
            </w:r>
          </w:p>
        </w:tc>
        <w:tc>
          <w:tcPr>
            <w:tcW w:type="dxa" w:w="3672"/>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5"/>
              </w:rPr>
              <w:t>Six filing-ready records requests</w:t>
            </w:r>
          </w:p>
        </w:tc>
      </w:tr>
      <w:tr>
        <w:trPr>
          <w:cantSplit/>
        </w:trPr>
        <w:tc>
          <w:tcPr>
            <w:tcW w:type="dxa" w:w="1224"/>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5"/>
              </w:rPr>
              <w:t>Appendix B</w:t>
            </w:r>
          </w:p>
        </w:tc>
        <w:tc>
          <w:tcPr>
            <w:tcW w:type="dxa" w:w="3672"/>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5"/>
              </w:rPr>
              <w:t>Claim Verification Register</w:t>
            </w:r>
          </w:p>
        </w:tc>
        <w:tc>
          <w:tcPr>
            <w:tcW w:type="dxa" w:w="1224"/>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5"/>
              </w:rPr>
              <w:t>Appendix C</w:t>
            </w:r>
          </w:p>
        </w:tc>
        <w:tc>
          <w:tcPr>
            <w:tcW w:type="dxa" w:w="3672"/>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5"/>
              </w:rPr>
              <w:t>Official source register</w:t>
            </w:r>
          </w:p>
        </w:tc>
      </w:tr>
      <w:tr>
        <w:trPr>
          <w:cantSplit/>
        </w:trPr>
        <w:tc>
          <w:tcPr>
            <w:tcW w:type="dxa" w:w="1224"/>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5"/>
              </w:rPr>
              <w:t>Appendix D</w:t>
            </w:r>
          </w:p>
        </w:tc>
        <w:tc>
          <w:tcPr>
            <w:tcW w:type="dxa" w:w="3672"/>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5"/>
              </w:rPr>
              <w:t>Calculations and caveats</w:t>
            </w:r>
          </w:p>
        </w:tc>
        <w:tc>
          <w:tcPr>
            <w:tcW w:type="dxa" w:w="1224"/>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5"/>
              </w:rPr>
              <w:t>Appendix E</w:t>
            </w:r>
          </w:p>
        </w:tc>
        <w:tc>
          <w:tcPr>
            <w:tcW w:type="dxa" w:w="3672"/>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5"/>
              </w:rPr>
              <w:t>Public-use and verification declaration</w:t>
            </w:r>
          </w:p>
        </w:tc>
      </w:tr>
    </w:tbl>
    <w:p>
      <w:pPr>
        <w:spacing w:after="0"/>
      </w:pPr>
    </w:p>
    <w:tbl>
      <w:tblPr>
        <w:tblW w:type="auto" w:w="0"/>
        <w:jc w:val="center"/>
        <w:tblLayout w:type="fixed"/>
        <w:tblLook w:firstColumn="1" w:firstRow="1" w:lastColumn="0" w:lastRow="0" w:noHBand="0" w:noVBand="1" w:val="04A0"/>
      </w:tblPr>
      <w:tblGrid>
        <w:gridCol w:w="115"/>
        <w:gridCol w:w="9648"/>
      </w:tblGrid>
      <w:tr>
        <w:tc>
          <w:tcPr>
            <w:tcW w:type="dxa" w:w="5054"/>
            <w:shd w:fill="2166A5"/>
            <w:tcMar>
              <w:top w:w="0" w:type="dxa"/>
              <w:start w:w="0" w:type="dxa"/>
              <w:bottom w:w="0" w:type="dxa"/>
              <w:end w:w="0" w:type="dxa"/>
            </w:tcMar>
          </w:tcPr>
          <w:p/>
        </w:tc>
        <w:tc>
          <w:tcPr>
            <w:tcW w:type="dxa" w:w="5054"/>
            <w:shd w:fill="EFF5F9"/>
            <w:tcMar>
              <w:top w:w="130" w:type="dxa"/>
              <w:start w:w="160" w:type="dxa"/>
              <w:bottom w:w="130" w:type="dxa"/>
              <w:end w:w="160" w:type="dxa"/>
            </w:tcMar>
            <w:tcBorders>
              <w:top w:val="single" w:sz="4" w:color="CBD6E0"/>
              <w:bottom w:val="single" w:sz="4" w:color="CBD6E0"/>
              <w:right w:val="single" w:sz="4" w:color="CBD6E0"/>
            </w:tcBorders>
          </w:tcPr>
          <w:p>
            <w:pPr>
              <w:spacing w:after="60"/>
            </w:pPr>
            <w:r>
              <w:rPr>
                <w:rFonts w:ascii="Aptos" w:hAnsi="Aptos"/>
                <w:b/>
                <w:color w:val="2166A5"/>
                <w:sz w:val="18"/>
              </w:rPr>
              <w:t>Evidence status key</w:t>
            </w:r>
          </w:p>
          <w:p>
            <w:pPr>
              <w:spacing w:after="0" w:line="252" w:lineRule="auto"/>
            </w:pPr>
            <w:r>
              <w:t>BUILT means the public record supports a completed, reproducible analysis at the stated scope. RECORDS-DEPENDENT means the analytical test is fully specified but the City-held transaction-level input is not public. Neither label is a finding of wrongdoing.</w:t>
            </w:r>
          </w:p>
        </w:tc>
      </w:tr>
    </w:tbl>
    <w:p>
      <w:pPr>
        <w:spacing w:after="0"/>
      </w:pPr>
    </w:p>
    <w:p>
      <w:pPr>
        <w:pageBreakBefore/>
        <w:spacing w:after="60"/>
      </w:pPr>
      <w:r>
        <w:rPr>
          <w:rFonts w:ascii="Aptos" w:hAnsi="Aptos"/>
          <w:b/>
          <w:color w:val="2166A5"/>
          <w:sz w:val="16"/>
        </w:rPr>
        <w:t>PART 1</w:t>
      </w:r>
    </w:p>
    <w:p>
      <w:pPr>
        <w:pStyle w:val="Heading1"/>
      </w:pPr>
      <w:r>
        <w:t>Executive verdict and closure ledger</w:t>
      </w:r>
    </w:p>
    <w:p>
      <w:pPr>
        <w:spacing w:after="100"/>
      </w:pPr>
      <w:r>
        <w:t>Final Public Edition 5.0 is strong enough for evidence-led outreach. Its central finding is narrower—and more defensible—than a conventional “municipal audit” headline: London publishes many authoritative numbers, but its public reporting architecture often prevents an outsider from following a dollar from authority through procurement and delivery to the promised outcome.</w:t>
      </w:r>
    </w:p>
    <w:tbl>
      <w:tblPr>
        <w:tblW w:type="auto" w:w="0"/>
        <w:jc w:val="center"/>
        <w:tblLayout w:type="fixed"/>
        <w:tblLook w:firstColumn="1" w:firstRow="1" w:lastColumn="0" w:lastRow="0" w:noHBand="0" w:noVBand="1" w:val="04A0"/>
      </w:tblPr>
      <w:tblGrid>
        <w:gridCol w:w="115"/>
        <w:gridCol w:w="9648"/>
      </w:tblGrid>
      <w:tr>
        <w:tc>
          <w:tcPr>
            <w:tcW w:type="dxa" w:w="5054"/>
            <w:shd w:fill="2F7D5A"/>
            <w:tcMar>
              <w:top w:w="0" w:type="dxa"/>
              <w:start w:w="0" w:type="dxa"/>
              <w:bottom w:w="0" w:type="dxa"/>
              <w:end w:w="0" w:type="dxa"/>
            </w:tcMar>
          </w:tcPr>
          <w:p/>
        </w:tc>
        <w:tc>
          <w:tcPr>
            <w:tcW w:type="dxa" w:w="5054"/>
            <w:shd w:fill="E4F2EA"/>
            <w:tcMar>
              <w:top w:w="130" w:type="dxa"/>
              <w:start w:w="160" w:type="dxa"/>
              <w:bottom w:w="130" w:type="dxa"/>
              <w:end w:w="160" w:type="dxa"/>
            </w:tcMar>
            <w:tcBorders>
              <w:top w:val="single" w:sz="4" w:color="CBD6E0"/>
              <w:bottom w:val="single" w:sz="4" w:color="CBD6E0"/>
              <w:right w:val="single" w:sz="4" w:color="CBD6E0"/>
            </w:tcBorders>
          </w:tcPr>
          <w:p>
            <w:pPr>
              <w:spacing w:after="60"/>
            </w:pPr>
            <w:r>
              <w:rPr>
                <w:rFonts w:ascii="Aptos" w:hAnsi="Aptos"/>
                <w:b/>
                <w:color w:val="2F7D5A"/>
                <w:sz w:val="18"/>
              </w:rPr>
              <w:t>Overall strength</w:t>
            </w:r>
          </w:p>
          <w:p>
            <w:pPr>
              <w:spacing w:after="0" w:line="252" w:lineRule="auto"/>
            </w:pPr>
            <w:r>
              <w:t>Strong as a source-locked accountability brief; moderate as a transaction audit. The report can establish disclosure gaps, reconcile published totals, reproduce arithmetic, and identify control findings already made by MNP. It cannot certify the books or test non-public invoices, bid evaluations, amendments, payroll, HR or project-control records.</w:t>
            </w:r>
          </w:p>
        </w:tc>
      </w:tr>
    </w:tbl>
    <w:p>
      <w:pPr>
        <w:spacing w:after="0"/>
      </w:pPr>
    </w:p>
    <w:p>
      <w:pPr>
        <w:pStyle w:val="Heading2"/>
      </w:pPr>
      <w:r>
        <w:t>Twelve original asks: final disposition</w:t>
      </w:r>
    </w:p>
    <w:tbl>
      <w:tblPr>
        <w:tblW w:type="auto" w:w="0"/>
        <w:jc w:val="center"/>
        <w:tblLayout w:type="fixed"/>
        <w:tblLook w:firstColumn="1" w:firstRow="1" w:lastColumn="0" w:lastRow="0" w:noHBand="0" w:noVBand="1" w:val="04A0"/>
      </w:tblPr>
      <w:tblGrid>
        <w:gridCol w:w="2527"/>
        <w:gridCol w:w="2527"/>
        <w:gridCol w:w="2527"/>
        <w:gridCol w:w="2527"/>
      </w:tblGrid>
      <w:tr>
        <w:trPr>
          <w:tblHeader w:val="true"/>
        </w:trPr>
        <w:tc>
          <w:tcPr>
            <w:tcW w:type="dxa" w:w="461"/>
            <w:shd w:fill="17365D"/>
            <w:tcMar>
              <w:top w:w="90" w:type="dxa"/>
              <w:start w:w="90" w:type="dxa"/>
              <w:bottom w:w="90" w:type="dxa"/>
              <w:end w:w="90" w:type="dxa"/>
            </w:tcMar>
          </w:tcPr>
          <w:p>
            <w:pPr>
              <w:spacing w:after="0"/>
            </w:pPr>
            <w:r>
              <w:rPr>
                <w:rFonts w:ascii="Aptos" w:hAnsi="Aptos"/>
                <w:b/>
                <w:color w:val="FFFFFF"/>
                <w:sz w:val="14"/>
              </w:rPr>
              <w:t>#</w:t>
            </w:r>
          </w:p>
        </w:tc>
        <w:tc>
          <w:tcPr>
            <w:tcW w:type="dxa" w:w="2678"/>
            <w:shd w:fill="17365D"/>
            <w:tcMar>
              <w:top w:w="90" w:type="dxa"/>
              <w:start w:w="90" w:type="dxa"/>
              <w:bottom w:w="90" w:type="dxa"/>
              <w:end w:w="90" w:type="dxa"/>
            </w:tcMar>
          </w:tcPr>
          <w:p>
            <w:pPr>
              <w:spacing w:after="0"/>
            </w:pPr>
            <w:r>
              <w:rPr>
                <w:rFonts w:ascii="Aptos" w:hAnsi="Aptos"/>
                <w:b/>
                <w:color w:val="FFFFFF"/>
                <w:sz w:val="14"/>
              </w:rPr>
              <w:t>Original ask</w:t>
            </w:r>
          </w:p>
        </w:tc>
        <w:tc>
          <w:tcPr>
            <w:tcW w:type="dxa" w:w="1699"/>
            <w:shd w:fill="17365D"/>
            <w:tcMar>
              <w:top w:w="90" w:type="dxa"/>
              <w:start w:w="90" w:type="dxa"/>
              <w:bottom w:w="90" w:type="dxa"/>
              <w:end w:w="90" w:type="dxa"/>
            </w:tcMar>
          </w:tcPr>
          <w:p>
            <w:pPr>
              <w:spacing w:after="0"/>
            </w:pPr>
            <w:r>
              <w:rPr>
                <w:rFonts w:ascii="Aptos" w:hAnsi="Aptos"/>
                <w:b/>
                <w:color w:val="FFFFFF"/>
                <w:sz w:val="14"/>
              </w:rPr>
              <w:t>Edition 3.0</w:t>
            </w:r>
          </w:p>
        </w:tc>
        <w:tc>
          <w:tcPr>
            <w:tcW w:type="dxa" w:w="5026"/>
            <w:shd w:fill="17365D"/>
            <w:tcMar>
              <w:top w:w="90" w:type="dxa"/>
              <w:start w:w="90" w:type="dxa"/>
              <w:bottom w:w="90" w:type="dxa"/>
              <w:end w:w="90" w:type="dxa"/>
            </w:tcMar>
          </w:tcPr>
          <w:p>
            <w:pPr>
              <w:spacing w:after="0"/>
            </w:pPr>
            <w:r>
              <w:rPr>
                <w:rFonts w:ascii="Aptos" w:hAnsi="Aptos"/>
                <w:b/>
                <w:color w:val="FFFFFF"/>
                <w:sz w:val="14"/>
              </w:rPr>
              <w:t>Final disposition</w:t>
            </w:r>
          </w:p>
        </w:tc>
      </w:tr>
      <w:tr>
        <w:trPr>
          <w:cantSplit/>
        </w:trPr>
        <w:tc>
          <w:tcPr>
            <w:tcW w:type="dxa" w:w="461"/>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1</w:t>
            </w:r>
          </w:p>
        </w:tc>
        <w:tc>
          <w:tcPr>
            <w:tcW w:type="dxa" w:w="2678"/>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Named case files</w:t>
            </w:r>
          </w:p>
        </w:tc>
        <w:tc>
          <w:tcPr>
            <w:tcW w:type="dxa" w:w="1699"/>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Partial</w:t>
            </w:r>
          </w:p>
        </w:tc>
        <w:tc>
          <w:tcPr>
            <w:tcW w:type="dxa" w:w="5026"/>
            <w:tcMar>
              <w:top w:w="75" w:type="dxa"/>
              <w:start w:w="90" w:type="dxa"/>
              <w:bottom w:w="75" w:type="dxa"/>
              <w:end w:w="90" w:type="dxa"/>
            </w:tcMar>
            <w:tcBorders>
              <w:bottom w:val="single" w:sz="2" w:color="CBD6E0"/>
            </w:tcBorders>
            <w:shd w:fill="E4F2EA"/>
          </w:tcPr>
          <w:p>
            <w:pPr>
              <w:spacing w:after="0" w:line="240" w:lineRule="auto"/>
            </w:pPr>
            <w:r>
              <w:rPr>
                <w:rFonts w:ascii="Aptos" w:hAnsi="Aptos"/>
                <w:color w:val="182433"/>
                <w:sz w:val="14"/>
              </w:rPr>
              <w:t>BUILT — eight public-record dossiers; missing change-order/closeout data routed to Request R1.</w:t>
            </w:r>
          </w:p>
        </w:tc>
      </w:tr>
      <w:tr>
        <w:trPr>
          <w:cantSplit/>
        </w:trPr>
        <w:tc>
          <w:tcPr>
            <w:tcW w:type="dxa" w:w="461"/>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2</w:t>
            </w:r>
          </w:p>
        </w:tc>
        <w:tc>
          <w:tcPr>
            <w:tcW w:type="dxa" w:w="2678"/>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Procurement compliance</w:t>
            </w:r>
          </w:p>
        </w:tc>
        <w:tc>
          <w:tcPr>
            <w:tcW w:type="dxa" w:w="1699"/>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Partial</w:t>
            </w:r>
          </w:p>
        </w:tc>
        <w:tc>
          <w:tcPr>
            <w:tcW w:type="dxa" w:w="5026"/>
            <w:shd w:fill="E4F2EA"/>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BUILT — policy-versioned compliance screen; row-level bid/amendment test routed to Request R2.</w:t>
            </w:r>
          </w:p>
        </w:tc>
      </w:tr>
      <w:tr>
        <w:trPr>
          <w:cantSplit/>
        </w:trPr>
        <w:tc>
          <w:tcPr>
            <w:tcW w:type="dxa" w:w="461"/>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3</w:t>
            </w:r>
          </w:p>
        </w:tc>
        <w:tc>
          <w:tcPr>
            <w:tcW w:type="dxa" w:w="2678"/>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Operating budget</w:t>
            </w:r>
          </w:p>
        </w:tc>
        <w:tc>
          <w:tcPr>
            <w:tcW w:type="dxa" w:w="1699"/>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Partial</w:t>
            </w:r>
          </w:p>
        </w:tc>
        <w:tc>
          <w:tcPr>
            <w:tcW w:type="dxa" w:w="5026"/>
            <w:tcMar>
              <w:top w:w="75" w:type="dxa"/>
              <w:start w:w="90" w:type="dxa"/>
              <w:bottom w:w="75" w:type="dxa"/>
              <w:end w:w="90" w:type="dxa"/>
            </w:tcMar>
            <w:tcBorders>
              <w:bottom w:val="single" w:sz="2" w:color="CBD6E0"/>
            </w:tcBorders>
            <w:shd w:fill="E4F2EA"/>
          </w:tcPr>
          <w:p>
            <w:pPr>
              <w:spacing w:after="0" w:line="240" w:lineRule="auto"/>
            </w:pPr>
            <w:r>
              <w:rPr>
                <w:rFonts w:ascii="Aptos" w:hAnsi="Aptos"/>
                <w:color w:val="182433"/>
                <w:sz w:val="14"/>
              </w:rPr>
              <w:t>BUILT — 2024 audited functions, 2025 audit update and 2026 service budgets; sub-service ledger in R3.</w:t>
            </w:r>
          </w:p>
        </w:tc>
      </w:tr>
      <w:tr>
        <w:trPr>
          <w:cantSplit/>
        </w:trPr>
        <w:tc>
          <w:tcPr>
            <w:tcW w:type="dxa" w:w="461"/>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4</w:t>
            </w:r>
          </w:p>
        </w:tc>
        <w:tc>
          <w:tcPr>
            <w:tcW w:type="dxa" w:w="2678"/>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Workforce productivity</w:t>
            </w:r>
          </w:p>
        </w:tc>
        <w:tc>
          <w:tcPr>
            <w:tcW w:type="dxa" w:w="1699"/>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Not built</w:t>
            </w:r>
          </w:p>
        </w:tc>
        <w:tc>
          <w:tcPr>
            <w:tcW w:type="dxa" w:w="5026"/>
            <w:shd w:fill="FFF1D6"/>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RECORDS-DEPENDENT — public salary screen completed; official complement, layers, vacancy, overtime and turnover in R3.</w:t>
            </w:r>
          </w:p>
        </w:tc>
      </w:tr>
      <w:tr>
        <w:trPr>
          <w:cantSplit/>
        </w:trPr>
        <w:tc>
          <w:tcPr>
            <w:tcW w:type="dxa" w:w="461"/>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5</w:t>
            </w:r>
          </w:p>
        </w:tc>
        <w:tc>
          <w:tcPr>
            <w:tcW w:type="dxa" w:w="2678"/>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Financial condition</w:t>
            </w:r>
          </w:p>
        </w:tc>
        <w:tc>
          <w:tcPr>
            <w:tcW w:type="dxa" w:w="1699"/>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Mostly built</w:t>
            </w:r>
          </w:p>
        </w:tc>
        <w:tc>
          <w:tcPr>
            <w:tcW w:type="dxa" w:w="5026"/>
            <w:tcMar>
              <w:top w:w="75" w:type="dxa"/>
              <w:start w:w="90" w:type="dxa"/>
              <w:bottom w:w="75" w:type="dxa"/>
              <w:end w:w="90" w:type="dxa"/>
            </w:tcMar>
            <w:tcBorders>
              <w:bottom w:val="single" w:sz="2" w:color="CBD6E0"/>
            </w:tcBorders>
            <w:shd w:fill="E4F2EA"/>
          </w:tcPr>
          <w:p>
            <w:pPr>
              <w:spacing w:after="0" w:line="240" w:lineRule="auto"/>
            </w:pPr>
            <w:r>
              <w:rPr>
                <w:rFonts w:ascii="Aptos" w:hAnsi="Aptos"/>
                <w:color w:val="182433"/>
                <w:sz w:val="14"/>
              </w:rPr>
              <w:t>BUILT — corrected interpretation, 2025 audit update and reproducible DC sensitivity scenarios.</w:t>
            </w:r>
          </w:p>
        </w:tc>
      </w:tr>
      <w:tr>
        <w:trPr>
          <w:cantSplit/>
        </w:trPr>
        <w:tc>
          <w:tcPr>
            <w:tcW w:type="dxa" w:w="461"/>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6</w:t>
            </w:r>
          </w:p>
        </w:tc>
        <w:tc>
          <w:tcPr>
            <w:tcW w:type="dxa" w:w="2678"/>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Per-project capital</w:t>
            </w:r>
          </w:p>
        </w:tc>
        <w:tc>
          <w:tcPr>
            <w:tcW w:type="dxa" w:w="1699"/>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Not built</w:t>
            </w:r>
          </w:p>
        </w:tc>
        <w:tc>
          <w:tcPr>
            <w:tcW w:type="dxa" w:w="5026"/>
            <w:shd w:fill="FFF1D6"/>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RECORDS-DEPENDENT — public dossiers completed; baseline/FAC/schedule/change-order package in R1.</w:t>
            </w:r>
          </w:p>
        </w:tc>
      </w:tr>
      <w:tr>
        <w:trPr>
          <w:cantSplit/>
        </w:trPr>
        <w:tc>
          <w:tcPr>
            <w:tcW w:type="dxa" w:w="461"/>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7</w:t>
            </w:r>
          </w:p>
        </w:tc>
        <w:tc>
          <w:tcPr>
            <w:tcW w:type="dxa" w:w="2678"/>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Strategy → output</w:t>
            </w:r>
          </w:p>
        </w:tc>
        <w:tc>
          <w:tcPr>
            <w:tcW w:type="dxa" w:w="1699"/>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Lead only</w:t>
            </w:r>
          </w:p>
        </w:tc>
        <w:tc>
          <w:tcPr>
            <w:tcW w:type="dxa" w:w="5026"/>
            <w:tcMar>
              <w:top w:w="75" w:type="dxa"/>
              <w:start w:w="90" w:type="dxa"/>
              <w:bottom w:w="75" w:type="dxa"/>
              <w:end w:w="90" w:type="dxa"/>
            </w:tcMar>
            <w:tcBorders>
              <w:bottom w:val="single" w:sz="2" w:color="CBD6E0"/>
            </w:tcBorders>
            <w:shd w:fill="E4F2EA"/>
          </w:tcPr>
          <w:p>
            <w:pPr>
              <w:spacing w:after="0" w:line="240" w:lineRule="auto"/>
            </w:pPr>
            <w:r>
              <w:rPr>
                <w:rFonts w:ascii="Aptos" w:hAnsi="Aptos"/>
                <w:color w:val="182433"/>
                <w:sz w:val="14"/>
              </w:rPr>
              <w:t>BUILT — CEAP, performance-measurement and public-dashboard traceability crosswalk.</w:t>
            </w:r>
          </w:p>
        </w:tc>
      </w:tr>
      <w:tr>
        <w:trPr>
          <w:cantSplit/>
        </w:trPr>
        <w:tc>
          <w:tcPr>
            <w:tcW w:type="dxa" w:w="461"/>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8</w:t>
            </w:r>
          </w:p>
        </w:tc>
        <w:tc>
          <w:tcPr>
            <w:tcW w:type="dxa" w:w="2678"/>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Grants and CIPs</w:t>
            </w:r>
          </w:p>
        </w:tc>
        <w:tc>
          <w:tcPr>
            <w:tcW w:type="dxa" w:w="1699"/>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Substantial</w:t>
            </w:r>
          </w:p>
        </w:tc>
        <w:tc>
          <w:tcPr>
            <w:tcW w:type="dxa" w:w="5026"/>
            <w:shd w:fill="E4F2EA"/>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BUILT — all 42 multi-year recipients, all 16 2025 annual recipients, outcome report and audit findings.</w:t>
            </w:r>
          </w:p>
        </w:tc>
      </w:tr>
      <w:tr>
        <w:trPr>
          <w:cantSplit/>
        </w:trPr>
        <w:tc>
          <w:tcPr>
            <w:tcW w:type="dxa" w:w="461"/>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9</w:t>
            </w:r>
          </w:p>
        </w:tc>
        <w:tc>
          <w:tcPr>
            <w:tcW w:type="dxa" w:w="2678"/>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Housing conversion funnel</w:t>
            </w:r>
          </w:p>
        </w:tc>
        <w:tc>
          <w:tcPr>
            <w:tcW w:type="dxa" w:w="1699"/>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Partial</w:t>
            </w:r>
          </w:p>
        </w:tc>
        <w:tc>
          <w:tcPr>
            <w:tcW w:type="dxa" w:w="5026"/>
            <w:tcMar>
              <w:top w:w="75" w:type="dxa"/>
              <w:start w:w="90" w:type="dxa"/>
              <w:bottom w:w="75" w:type="dxa"/>
              <w:end w:w="90" w:type="dxa"/>
            </w:tcMar>
            <w:tcBorders>
              <w:bottom w:val="single" w:sz="2" w:color="CBD6E0"/>
            </w:tcBorders>
            <w:shd w:fill="E4F2EA"/>
          </w:tcPr>
          <w:p>
            <w:pPr>
              <w:spacing w:after="0" w:line="240" w:lineRule="auto"/>
            </w:pPr>
            <w:r>
              <w:rPr>
                <w:rFonts w:ascii="Aptos" w:hAnsi="Aptos"/>
                <w:color w:val="182433"/>
                <w:sz w:val="14"/>
              </w:rPr>
              <w:t>BUILT — stage-separated 2025 ladder; address-level cohort ledger in R4.</w:t>
            </w:r>
          </w:p>
        </w:tc>
      </w:tr>
      <w:tr>
        <w:trPr>
          <w:cantSplit/>
        </w:trPr>
        <w:tc>
          <w:tcPr>
            <w:tcW w:type="dxa" w:w="461"/>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10</w:t>
            </w:r>
          </w:p>
        </w:tc>
        <w:tc>
          <w:tcPr>
            <w:tcW w:type="dxa" w:w="2678"/>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Service modules</w:t>
            </w:r>
          </w:p>
        </w:tc>
        <w:tc>
          <w:tcPr>
            <w:tcW w:type="dxa" w:w="1699"/>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Leads only</w:t>
            </w:r>
          </w:p>
        </w:tc>
        <w:tc>
          <w:tcPr>
            <w:tcW w:type="dxa" w:w="5026"/>
            <w:shd w:fill="FFF1D6"/>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RECORDS-DEPENDENT — transit/police built; availability matrix and KPI extracts for remaining services in R5.</w:t>
            </w:r>
          </w:p>
        </w:tc>
      </w:tr>
      <w:tr>
        <w:trPr>
          <w:cantSplit/>
        </w:trPr>
        <w:tc>
          <w:tcPr>
            <w:tcW w:type="dxa" w:w="461"/>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11</w:t>
            </w:r>
          </w:p>
        </w:tc>
        <w:tc>
          <w:tcPr>
            <w:tcW w:type="dxa" w:w="2678"/>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Internal-audit crosswalk</w:t>
            </w:r>
          </w:p>
        </w:tc>
        <w:tc>
          <w:tcPr>
            <w:tcW w:type="dxa" w:w="1699"/>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Overstated</w:t>
            </w:r>
          </w:p>
        </w:tc>
        <w:tc>
          <w:tcPr>
            <w:tcW w:type="dxa" w:w="5026"/>
            <w:tcMar>
              <w:top w:w="75" w:type="dxa"/>
              <w:start w:w="90" w:type="dxa"/>
              <w:bottom w:w="75" w:type="dxa"/>
              <w:end w:w="90" w:type="dxa"/>
            </w:tcMar>
            <w:tcBorders>
              <w:bottom w:val="single" w:sz="2" w:color="CBD6E0"/>
            </w:tcBorders>
            <w:shd w:fill="E4F2EA"/>
          </w:tcPr>
          <w:p>
            <w:pPr>
              <w:spacing w:after="0" w:line="240" w:lineRule="auto"/>
            </w:pPr>
            <w:r>
              <w:rPr>
                <w:rFonts w:ascii="Aptos" w:hAnsi="Aptos"/>
                <w:color w:val="182433"/>
                <w:sz w:val="14"/>
              </w:rPr>
              <w:t>BUILT — reports, observations, responses, due dates and follow-up status now crosswalked.</w:t>
            </w:r>
          </w:p>
        </w:tc>
      </w:tr>
      <w:tr>
        <w:trPr>
          <w:cantSplit/>
        </w:trPr>
        <w:tc>
          <w:tcPr>
            <w:tcW w:type="dxa" w:w="461"/>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12</w:t>
            </w:r>
          </w:p>
        </w:tc>
        <w:tc>
          <w:tcPr>
            <w:tcW w:type="dxa" w:w="2678"/>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Evidence/publication system</w:t>
            </w:r>
          </w:p>
        </w:tc>
        <w:tc>
          <w:tcPr>
            <w:tcW w:type="dxa" w:w="1699"/>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Partial</w:t>
            </w:r>
          </w:p>
        </w:tc>
        <w:tc>
          <w:tcPr>
            <w:tcW w:type="dxa" w:w="5026"/>
            <w:shd w:fill="E4F2EA"/>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BUILT — briefing, claim register, sources, calculations, records package and public-use rules.</w:t>
            </w:r>
          </w:p>
        </w:tc>
      </w:tr>
    </w:tbl>
    <w:p>
      <w:pPr>
        <w:spacing w:after="0"/>
      </w:pPr>
    </w:p>
    <w:p>
      <w:pPr>
        <w:pStyle w:val="Heading2"/>
      </w:pPr>
      <w:r>
        <w:t>The six highest-value findings</w:t>
      </w:r>
    </w:p>
    <w:p>
      <w:pPr>
        <w:pStyle w:val="ListNumber"/>
        <w:spacing w:after="60"/>
        <w:ind w:left="403" w:hanging="259"/>
      </w:pPr>
      <w:r>
        <w:t>Procurement disclosure remains structurally weak: 1,394 of 1,978 scraped award records carried no visible dollar value. This is a posted-record finding, not a measure of total City procurement.</w:t>
      </w:r>
    </w:p>
    <w:p>
      <w:pPr>
        <w:pStyle w:val="ListNumber"/>
        <w:spacing w:after="60"/>
        <w:ind w:left="403" w:hanging="259"/>
      </w:pPr>
      <w:r>
        <w:t>The maintain-current infrastructure gap reached $946.1 million in the 2023 plan—66.3% above the 2019 cycle and 103.0% above 2014.</w:t>
      </w:r>
    </w:p>
    <w:p>
      <w:pPr>
        <w:pStyle w:val="ListNumber"/>
        <w:spacing w:after="60"/>
        <w:ind w:left="403" w:hanging="259"/>
      </w:pPr>
      <w:r>
        <w:t>Across eleven DC reserve funds, 2025 contributions were $37.7 million below disbursements and the closing balance fell to $327.1 million; a simple repeat-draw scenario demonstrates why project timing and commitments matter.</w:t>
      </w:r>
    </w:p>
    <w:p>
      <w:pPr>
        <w:pStyle w:val="ListNumber"/>
        <w:spacing w:after="60"/>
        <w:ind w:left="403" w:hanging="259"/>
      </w:pPr>
      <w:r>
        <w:t>The 2025 audited PSAB annual surplus was $463.734 million versus a $281.085 million budget, a $182.649 million variance. That is not the same as the City’s tax-supported operating surplus or free cash.</w:t>
      </w:r>
    </w:p>
    <w:p>
      <w:pPr>
        <w:pStyle w:val="ListNumber"/>
        <w:spacing w:after="60"/>
        <w:ind w:left="403" w:hanging="259"/>
      </w:pPr>
      <w:r>
        <w:t>The grants ledger is now complete for the current multi-year cycle: 42 recipients, exactly $9.2 million over four years. The City’s impact report says recipients served an average 164,003 Londoners per year and leveraged more than $50 million, while MNP identified two unresolved allocation-control weaknesses.</w:t>
      </w:r>
    </w:p>
    <w:p>
      <w:pPr>
        <w:pStyle w:val="ListNumber"/>
        <w:spacing w:after="60"/>
        <w:ind w:left="403" w:hanging="259"/>
      </w:pPr>
      <w:r>
        <w:t>Housing reporting is improving but still mixes scopes in public debate: 5,462 residential units received permits in 2025; 2,576 City-funded affordable units were tracked; 675 were in progress and 1,360 in planning; 44 City-led highly supportive units were completed and occupied.</w:t>
      </w:r>
    </w:p>
    <w:p>
      <w:pPr>
        <w:spacing w:before="40" w:after="100"/>
      </w:pPr>
      <w:r>
        <w:rPr>
          <w:rFonts w:ascii="Aptos" w:hAnsi="Aptos"/>
          <w:b/>
          <w:color w:val="2166A5"/>
          <w:sz w:val="14"/>
        </w:rPr>
        <w:t xml:space="preserve">SOURCE LOCK  </w:t>
      </w:r>
      <w:r>
        <w:rPr>
          <w:rFonts w:ascii="Aptos" w:hAnsi="Aptos"/>
          <w:b/>
          <w:color w:val="182433"/>
          <w:sz w:val="14"/>
        </w:rPr>
        <w:t>S01–S24</w:t>
      </w:r>
    </w:p>
    <w:p>
      <w:pPr>
        <w:pageBreakBefore/>
        <w:spacing w:after="60"/>
      </w:pPr>
      <w:r>
        <w:rPr>
          <w:rFonts w:ascii="Aptos" w:hAnsi="Aptos"/>
          <w:b/>
          <w:color w:val="2166A5"/>
          <w:sz w:val="16"/>
        </w:rPr>
        <w:t>PART 2</w:t>
      </w:r>
    </w:p>
    <w:p>
      <w:pPr>
        <w:pStyle w:val="Heading1"/>
      </w:pPr>
      <w:r>
        <w:t>Verification standard, scope and method</w:t>
      </w:r>
    </w:p>
    <w:p>
      <w:pPr>
        <w:pStyle w:val="Heading2"/>
      </w:pPr>
      <w:r>
        <w:t>Five tests</w:t>
      </w:r>
    </w:p>
    <w:tbl>
      <w:tblPr>
        <w:tblW w:type="auto" w:w="0"/>
        <w:jc w:val="center"/>
        <w:tblLayout w:type="fixed"/>
        <w:tblLook w:firstColumn="1" w:firstRow="1" w:lastColumn="0" w:lastRow="0" w:noHBand="0" w:noVBand="1" w:val="04A0"/>
      </w:tblPr>
      <w:tblGrid>
        <w:gridCol w:w="3369"/>
        <w:gridCol w:w="3369"/>
        <w:gridCol w:w="3369"/>
      </w:tblGrid>
      <w:tr>
        <w:trPr>
          <w:tblHeader w:val="true"/>
        </w:trPr>
        <w:tc>
          <w:tcPr>
            <w:tcW w:type="dxa" w:w="648"/>
            <w:shd w:fill="17365D"/>
            <w:tcMar>
              <w:top w:w="90" w:type="dxa"/>
              <w:start w:w="90" w:type="dxa"/>
              <w:bottom w:w="90" w:type="dxa"/>
              <w:end w:w="90" w:type="dxa"/>
            </w:tcMar>
          </w:tcPr>
          <w:p>
            <w:pPr>
              <w:spacing w:after="0"/>
            </w:pPr>
            <w:r>
              <w:rPr>
                <w:rFonts w:ascii="Aptos" w:hAnsi="Aptos"/>
                <w:b/>
                <w:color w:val="FFFFFF"/>
                <w:sz w:val="16"/>
              </w:rPr>
              <w:t>Test</w:t>
            </w:r>
          </w:p>
        </w:tc>
        <w:tc>
          <w:tcPr>
            <w:tcW w:type="dxa" w:w="1944"/>
            <w:shd w:fill="17365D"/>
            <w:tcMar>
              <w:top w:w="90" w:type="dxa"/>
              <w:start w:w="90" w:type="dxa"/>
              <w:bottom w:w="90" w:type="dxa"/>
              <w:end w:w="90" w:type="dxa"/>
            </w:tcMar>
          </w:tcPr>
          <w:p>
            <w:pPr>
              <w:spacing w:after="0"/>
            </w:pPr>
            <w:r>
              <w:rPr>
                <w:rFonts w:ascii="Aptos" w:hAnsi="Aptos"/>
                <w:b/>
                <w:color w:val="FFFFFF"/>
                <w:sz w:val="16"/>
              </w:rPr>
              <w:t>Rule</w:t>
            </w:r>
          </w:p>
        </w:tc>
        <w:tc>
          <w:tcPr>
            <w:tcW w:type="dxa" w:w="7272"/>
            <w:shd w:fill="17365D"/>
            <w:tcMar>
              <w:top w:w="90" w:type="dxa"/>
              <w:start w:w="90" w:type="dxa"/>
              <w:bottom w:w="90" w:type="dxa"/>
              <w:end w:w="90" w:type="dxa"/>
            </w:tcMar>
          </w:tcPr>
          <w:p>
            <w:pPr>
              <w:spacing w:after="0"/>
            </w:pPr>
            <w:r>
              <w:rPr>
                <w:rFonts w:ascii="Aptos" w:hAnsi="Aptos"/>
                <w:b/>
                <w:color w:val="FFFFFF"/>
                <w:sz w:val="16"/>
              </w:rPr>
              <w:t>Application</w:t>
            </w:r>
          </w:p>
        </w:tc>
      </w:tr>
      <w:tr>
        <w:trPr>
          <w:cantSplit/>
        </w:trPr>
        <w:tc>
          <w:tcPr>
            <w:tcW w:type="dxa" w:w="648"/>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6"/>
              </w:rPr>
              <w:t>1</w:t>
            </w:r>
          </w:p>
        </w:tc>
        <w:tc>
          <w:tcPr>
            <w:tcW w:type="dxa" w:w="1944"/>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6"/>
              </w:rPr>
              <w:t>Primary source</w:t>
            </w:r>
          </w:p>
        </w:tc>
        <w:tc>
          <w:tcPr>
            <w:tcW w:type="dxa" w:w="7272"/>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6"/>
              </w:rPr>
              <w:t>Official City, board/commission, provincial disclosure or an attachment placed on a City agenda.</w:t>
            </w:r>
          </w:p>
        </w:tc>
      </w:tr>
      <w:tr>
        <w:trPr>
          <w:cantSplit/>
        </w:trPr>
        <w:tc>
          <w:tcPr>
            <w:tcW w:type="dxa" w:w="648"/>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6"/>
              </w:rPr>
              <w:t>2</w:t>
            </w:r>
          </w:p>
        </w:tc>
        <w:tc>
          <w:tcPr>
            <w:tcW w:type="dxa" w:w="1944"/>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6"/>
              </w:rPr>
              <w:t>Scope</w:t>
            </w:r>
          </w:p>
        </w:tc>
        <w:tc>
          <w:tcPr>
            <w:tcW w:type="dxa" w:w="7272"/>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6"/>
              </w:rPr>
              <w:t>Period, entity, unit, support type and population are explicit.</w:t>
            </w:r>
          </w:p>
        </w:tc>
      </w:tr>
      <w:tr>
        <w:trPr>
          <w:cantSplit/>
        </w:trPr>
        <w:tc>
          <w:tcPr>
            <w:tcW w:type="dxa" w:w="648"/>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6"/>
              </w:rPr>
              <w:t>3</w:t>
            </w:r>
          </w:p>
        </w:tc>
        <w:tc>
          <w:tcPr>
            <w:tcW w:type="dxa" w:w="1944"/>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6"/>
              </w:rPr>
              <w:t>Status</w:t>
            </w:r>
          </w:p>
        </w:tc>
        <w:tc>
          <w:tcPr>
            <w:tcW w:type="dxa" w:w="7272"/>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6"/>
              </w:rPr>
              <w:t>Approval ≠ budget ≠ award ≠ commitment ≠ payment ≠ completion ≠ outcome.</w:t>
            </w:r>
          </w:p>
        </w:tc>
      </w:tr>
      <w:tr>
        <w:trPr>
          <w:cantSplit/>
        </w:trPr>
        <w:tc>
          <w:tcPr>
            <w:tcW w:type="dxa" w:w="648"/>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6"/>
              </w:rPr>
              <w:t>4</w:t>
            </w:r>
          </w:p>
        </w:tc>
        <w:tc>
          <w:tcPr>
            <w:tcW w:type="dxa" w:w="1944"/>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6"/>
              </w:rPr>
              <w:t>Reproduction</w:t>
            </w:r>
          </w:p>
        </w:tc>
        <w:tc>
          <w:tcPr>
            <w:tcW w:type="dxa" w:w="7272"/>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6"/>
              </w:rPr>
              <w:t>Displayed arithmetic can be recalculated from cited figures.</w:t>
            </w:r>
          </w:p>
        </w:tc>
      </w:tr>
      <w:tr>
        <w:trPr>
          <w:cantSplit/>
        </w:trPr>
        <w:tc>
          <w:tcPr>
            <w:tcW w:type="dxa" w:w="648"/>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6"/>
              </w:rPr>
              <w:t>5</w:t>
            </w:r>
          </w:p>
        </w:tc>
        <w:tc>
          <w:tcPr>
            <w:tcW w:type="dxa" w:w="1944"/>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6"/>
              </w:rPr>
              <w:t>Language</w:t>
            </w:r>
          </w:p>
        </w:tc>
        <w:tc>
          <w:tcPr>
            <w:tcW w:type="dxa" w:w="7272"/>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6"/>
              </w:rPr>
              <w:t>Interpretation does not outrun the source; material limitations sit beside the claim.</w:t>
            </w:r>
          </w:p>
        </w:tc>
      </w:tr>
    </w:tbl>
    <w:p>
      <w:pPr>
        <w:spacing w:after="0"/>
      </w:pPr>
    </w:p>
    <w:p>
      <w:pPr>
        <w:pStyle w:val="Heading2"/>
      </w:pPr>
      <w:r>
        <w:t>Evidence labels</w:t>
      </w:r>
    </w:p>
    <w:tbl>
      <w:tblPr>
        <w:tblW w:type="auto" w:w="0"/>
        <w:jc w:val="center"/>
        <w:tblLayout w:type="fixed"/>
        <w:tblLook w:firstColumn="1" w:firstRow="1" w:lastColumn="0" w:lastRow="0" w:noHBand="0" w:noVBand="1" w:val="04A0"/>
      </w:tblPr>
      <w:tblGrid>
        <w:gridCol w:w="3369"/>
        <w:gridCol w:w="3369"/>
        <w:gridCol w:w="3369"/>
      </w:tblGrid>
      <w:tr>
        <w:trPr>
          <w:tblHeader w:val="true"/>
        </w:trPr>
        <w:tc>
          <w:tcPr>
            <w:tcW w:type="dxa" w:w="1296"/>
            <w:shd w:fill="17365D"/>
            <w:tcMar>
              <w:top w:w="90" w:type="dxa"/>
              <w:start w:w="90" w:type="dxa"/>
              <w:bottom w:w="90" w:type="dxa"/>
              <w:end w:w="90" w:type="dxa"/>
            </w:tcMar>
          </w:tcPr>
          <w:p>
            <w:pPr>
              <w:spacing w:after="0"/>
            </w:pPr>
            <w:r>
              <w:rPr>
                <w:rFonts w:ascii="Aptos" w:hAnsi="Aptos"/>
                <w:b/>
                <w:color w:val="FFFFFF"/>
                <w:sz w:val="16"/>
              </w:rPr>
              <w:t>Label</w:t>
            </w:r>
          </w:p>
        </w:tc>
        <w:tc>
          <w:tcPr>
            <w:tcW w:type="dxa" w:w="3672"/>
            <w:shd w:fill="17365D"/>
            <w:tcMar>
              <w:top w:w="90" w:type="dxa"/>
              <w:start w:w="90" w:type="dxa"/>
              <w:bottom w:w="90" w:type="dxa"/>
              <w:end w:w="90" w:type="dxa"/>
            </w:tcMar>
          </w:tcPr>
          <w:p>
            <w:pPr>
              <w:spacing w:after="0"/>
            </w:pPr>
            <w:r>
              <w:rPr>
                <w:rFonts w:ascii="Aptos" w:hAnsi="Aptos"/>
                <w:b/>
                <w:color w:val="FFFFFF"/>
                <w:sz w:val="16"/>
              </w:rPr>
              <w:t>Meaning</w:t>
            </w:r>
          </w:p>
        </w:tc>
        <w:tc>
          <w:tcPr>
            <w:tcW w:type="dxa" w:w="4896"/>
            <w:shd w:fill="17365D"/>
            <w:tcMar>
              <w:top w:w="90" w:type="dxa"/>
              <w:start w:w="90" w:type="dxa"/>
              <w:bottom w:w="90" w:type="dxa"/>
              <w:end w:w="90" w:type="dxa"/>
            </w:tcMar>
          </w:tcPr>
          <w:p>
            <w:pPr>
              <w:spacing w:after="0"/>
            </w:pPr>
            <w:r>
              <w:rPr>
                <w:rFonts w:ascii="Aptos" w:hAnsi="Aptos"/>
                <w:b/>
                <w:color w:val="FFFFFF"/>
                <w:sz w:val="16"/>
              </w:rPr>
              <w:t>Permitted use</w:t>
            </w:r>
          </w:p>
        </w:tc>
      </w:tr>
      <w:tr>
        <w:trPr>
          <w:cantSplit/>
        </w:trPr>
        <w:tc>
          <w:tcPr>
            <w:tcW w:type="dxa" w:w="1296"/>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6"/>
              </w:rPr>
              <w:t>VERIFIED</w:t>
            </w:r>
          </w:p>
        </w:tc>
        <w:tc>
          <w:tcPr>
            <w:tcW w:type="dxa" w:w="3672"/>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6"/>
              </w:rPr>
              <w:t>Directly stated in a source and scope-matched.</w:t>
            </w:r>
          </w:p>
        </w:tc>
        <w:tc>
          <w:tcPr>
            <w:tcW w:type="dxa" w:w="4896"/>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6"/>
              </w:rPr>
              <w:t>May be stated as a sourced fact.</w:t>
            </w:r>
          </w:p>
        </w:tc>
      </w:tr>
      <w:tr>
        <w:trPr>
          <w:cantSplit/>
        </w:trPr>
        <w:tc>
          <w:tcPr>
            <w:tcW w:type="dxa" w:w="1296"/>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6"/>
              </w:rPr>
              <w:t>DERIVED</w:t>
            </w:r>
          </w:p>
        </w:tc>
        <w:tc>
          <w:tcPr>
            <w:tcW w:type="dxa" w:w="3672"/>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6"/>
              </w:rPr>
              <w:t>Arithmetic from verified source figures.</w:t>
            </w:r>
          </w:p>
        </w:tc>
        <w:tc>
          <w:tcPr>
            <w:tcW w:type="dxa" w:w="4896"/>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6"/>
              </w:rPr>
              <w:t>May be used if calculation is shown.</w:t>
            </w:r>
          </w:p>
        </w:tc>
      </w:tr>
      <w:tr>
        <w:trPr>
          <w:cantSplit/>
        </w:trPr>
        <w:tc>
          <w:tcPr>
            <w:tcW w:type="dxa" w:w="1296"/>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6"/>
              </w:rPr>
              <w:t>LIMITED</w:t>
            </w:r>
          </w:p>
        </w:tc>
        <w:tc>
          <w:tcPr>
            <w:tcW w:type="dxa" w:w="3672"/>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6"/>
              </w:rPr>
              <w:t>Verified at a narrower scope than the headline question.</w:t>
            </w:r>
          </w:p>
        </w:tc>
        <w:tc>
          <w:tcPr>
            <w:tcW w:type="dxa" w:w="4896"/>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6"/>
              </w:rPr>
              <w:t>Use only with the limitation adjacent.</w:t>
            </w:r>
          </w:p>
        </w:tc>
      </w:tr>
      <w:tr>
        <w:trPr>
          <w:cantSplit/>
        </w:trPr>
        <w:tc>
          <w:tcPr>
            <w:tcW w:type="dxa" w:w="1296"/>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6"/>
              </w:rPr>
              <w:t>REQUESTED</w:t>
            </w:r>
          </w:p>
        </w:tc>
        <w:tc>
          <w:tcPr>
            <w:tcW w:type="dxa" w:w="3672"/>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6"/>
              </w:rPr>
              <w:t>Required input is City-held and not located publicly.</w:t>
            </w:r>
          </w:p>
        </w:tc>
        <w:tc>
          <w:tcPr>
            <w:tcW w:type="dxa" w:w="4896"/>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6"/>
              </w:rPr>
              <w:t>No substantive conclusion until received.</w:t>
            </w:r>
          </w:p>
        </w:tc>
      </w:tr>
      <w:tr>
        <w:trPr>
          <w:cantSplit/>
        </w:trPr>
        <w:tc>
          <w:tcPr>
            <w:tcW w:type="dxa" w:w="1296"/>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6"/>
              </w:rPr>
              <w:t>CORRECTED</w:t>
            </w:r>
          </w:p>
        </w:tc>
        <w:tc>
          <w:tcPr>
            <w:tcW w:type="dxa" w:w="3672"/>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6"/>
              </w:rPr>
              <w:t>Prior wording overstated or misframed the evidence.</w:t>
            </w:r>
          </w:p>
        </w:tc>
        <w:tc>
          <w:tcPr>
            <w:tcW w:type="dxa" w:w="4896"/>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6"/>
              </w:rPr>
              <w:t>The current source-locked wording supersedes it.</w:t>
            </w:r>
          </w:p>
        </w:tc>
      </w:tr>
    </w:tbl>
    <w:p>
      <w:pPr>
        <w:spacing w:after="0"/>
      </w:pPr>
    </w:p>
    <w:p>
      <w:pPr>
        <w:pStyle w:val="Heading2"/>
      </w:pPr>
      <w:r>
        <w:t>What this is—and is not</w:t>
      </w:r>
    </w:p>
    <w:p>
      <w:pPr>
        <w:spacing w:after="100"/>
      </w:pPr>
      <w:r>
        <w:t>This is a public-records ledger and analytical review. It is not a financial-statement audit, forensic audit, legal opinion, engineering review, procurement protest, value-for-money assurance opinion or certification of City records. KPMG’s audited financial statements and MNP’s internal-audit reports are treated as sources; this document does not reproduce their assurance work.</w:t>
      </w:r>
    </w:p>
    <w:p>
      <w:pPr>
        <w:pStyle w:val="Heading2"/>
      </w:pPr>
      <w:r>
        <w:t>Current-record rule</w:t>
      </w:r>
    </w:p>
    <w:p>
      <w:pPr>
        <w:spacing w:after="100"/>
      </w:pPr>
      <w:r>
        <w:t>Records were checked through August 20, 2026. The current procurement policy took effect October 1, 2025; earlier awards are evaluated under the legacy policy. The 2025 audited statements, June 2026 internal-audit reports, 2025 LTC report, 2025 LPS report and 2026 budget update supersede older availability statements where applicable.</w:t>
      </w:r>
    </w:p>
    <w:tbl>
      <w:tblPr>
        <w:tblW w:type="auto" w:w="0"/>
        <w:jc w:val="center"/>
        <w:tblLayout w:type="fixed"/>
        <w:tblLook w:firstColumn="1" w:firstRow="1" w:lastColumn="0" w:lastRow="0" w:noHBand="0" w:noVBand="1" w:val="04A0"/>
      </w:tblPr>
      <w:tblGrid>
        <w:gridCol w:w="115"/>
        <w:gridCol w:w="9648"/>
      </w:tblGrid>
      <w:tr>
        <w:tc>
          <w:tcPr>
            <w:tcW w:type="dxa" w:w="5054"/>
            <w:shd w:fill="B36A00"/>
            <w:tcMar>
              <w:top w:w="0" w:type="dxa"/>
              <w:start w:w="0" w:type="dxa"/>
              <w:bottom w:w="0" w:type="dxa"/>
              <w:end w:w="0" w:type="dxa"/>
            </w:tcMar>
          </w:tcPr>
          <w:p/>
        </w:tc>
        <w:tc>
          <w:tcPr>
            <w:tcW w:type="dxa" w:w="5054"/>
            <w:shd w:fill="FFF1D6"/>
            <w:tcMar>
              <w:top w:w="130" w:type="dxa"/>
              <w:start w:w="160" w:type="dxa"/>
              <w:bottom w:w="130" w:type="dxa"/>
              <w:end w:w="160" w:type="dxa"/>
            </w:tcMar>
            <w:tcBorders>
              <w:top w:val="single" w:sz="4" w:color="CBD6E0"/>
              <w:bottom w:val="single" w:sz="4" w:color="CBD6E0"/>
              <w:right w:val="single" w:sz="4" w:color="CBD6E0"/>
            </w:tcBorders>
          </w:tcPr>
          <w:p>
            <w:pPr>
              <w:spacing w:after="60"/>
            </w:pPr>
            <w:r>
              <w:rPr>
                <w:rFonts w:ascii="Aptos" w:hAnsi="Aptos"/>
                <w:b/>
                <w:color w:val="B36A00"/>
                <w:sz w:val="18"/>
              </w:rPr>
              <w:t>No false completion</w:t>
            </w:r>
          </w:p>
          <w:p>
            <w:pPr>
              <w:spacing w:after="0" w:line="252" w:lineRule="auto"/>
            </w:pPr>
            <w:r>
              <w:t>A module can be finished even when a conclusion is not available: the test, denominator, source gap, responsible record-holder and requested fields are specified. That is a completed evidence disposition—not a placeholder and not permission to guess.</w:t>
            </w:r>
          </w:p>
        </w:tc>
      </w:tr>
    </w:tbl>
    <w:p>
      <w:pPr>
        <w:spacing w:after="0"/>
      </w:pPr>
    </w:p>
    <w:p>
      <w:pPr>
        <w:spacing w:after="60"/>
      </w:pPr>
      <w:r>
        <w:rPr>
          <w:rFonts w:ascii="Aptos" w:hAnsi="Aptos"/>
          <w:b/>
          <w:color w:val="2166A5"/>
          <w:sz w:val="16"/>
        </w:rPr>
        <w:t>PART 3</w:t>
      </w:r>
    </w:p>
    <w:p>
      <w:pPr>
        <w:pStyle w:val="Heading1"/>
      </w:pPr>
      <w:r>
        <w:t>Financial baseline and condition</w:t>
      </w:r>
    </w:p>
    <w:p>
      <w:pPr>
        <w:pStyle w:val="Heading2"/>
      </w:pPr>
      <w:r>
        <w:t>3.1 2026 approved budget frame</w:t>
      </w:r>
    </w:p>
    <w:tbl>
      <w:tblPr>
        <w:tblW w:type="auto" w:w="0"/>
        <w:jc w:val="center"/>
        <w:tblLayout w:type="fixed"/>
        <w:tblLook w:firstColumn="1" w:firstRow="1" w:lastColumn="0" w:lastRow="0" w:noHBand="0" w:noVBand="1" w:val="04A0"/>
      </w:tblPr>
      <w:tblGrid>
        <w:gridCol w:w="3369"/>
        <w:gridCol w:w="3369"/>
        <w:gridCol w:w="3369"/>
      </w:tblGrid>
      <w:tr>
        <w:tc>
          <w:tcPr>
            <w:tcW w:type="dxa" w:w="3288"/>
            <w:shd w:fill="EFF5F9"/>
            <w:tcMar>
              <w:top w:w="130" w:type="dxa"/>
              <w:start w:w="120" w:type="dxa"/>
              <w:bottom w:w="120" w:type="dxa"/>
              <w:end w:w="120" w:type="dxa"/>
            </w:tcMar>
            <w:tcBorders>
              <w:top w:val="single" w:sz="8" w:color="17365D"/>
              <w:left w:val="single" w:sz="3" w:color="CBD6E0"/>
              <w:bottom w:val="single" w:sz="3" w:color="CBD6E0"/>
              <w:right w:val="single" w:sz="3" w:color="CBD6E0"/>
            </w:tcBorders>
          </w:tcPr>
          <w:p>
            <w:pPr>
              <w:jc w:val="center"/>
            </w:pPr>
            <w:r>
              <w:rPr>
                <w:rFonts w:ascii="Aptos Display" w:hAnsi="Aptos Display"/>
                <w:b/>
                <w:color w:val="17365D"/>
                <w:sz w:val="34"/>
              </w:rPr>
              <w:t>$1.468B</w:t>
            </w:r>
          </w:p>
          <w:p>
            <w:pPr>
              <w:spacing w:after="40"/>
              <w:jc w:val="center"/>
            </w:pPr>
            <w:r>
              <w:rPr>
                <w:rFonts w:ascii="Aptos" w:hAnsi="Aptos"/>
                <w:b/>
                <w:color w:val="182433"/>
                <w:sz w:val="16"/>
              </w:rPr>
              <w:t>property-tax operating expense</w:t>
            </w:r>
          </w:p>
          <w:p>
            <w:pPr>
              <w:spacing w:after="0"/>
              <w:jc w:val="center"/>
            </w:pPr>
            <w:r>
              <w:rPr>
                <w:rFonts w:ascii="Aptos" w:hAnsi="Aptos"/>
                <w:color w:val="5E6B78"/>
                <w:sz w:val="14"/>
              </w:rPr>
              <w:t>$926.085M levy</w:t>
            </w:r>
          </w:p>
        </w:tc>
        <w:tc>
          <w:tcPr>
            <w:tcW w:type="dxa" w:w="3288"/>
            <w:shd w:fill="EFF5F9"/>
            <w:tcMar>
              <w:top w:w="130" w:type="dxa"/>
              <w:start w:w="120" w:type="dxa"/>
              <w:bottom w:w="120" w:type="dxa"/>
              <w:end w:w="120" w:type="dxa"/>
            </w:tcMar>
            <w:tcBorders>
              <w:top w:val="single" w:sz="8" w:color="2166A5"/>
              <w:left w:val="single" w:sz="3" w:color="CBD6E0"/>
              <w:bottom w:val="single" w:sz="3" w:color="CBD6E0"/>
              <w:right w:val="single" w:sz="3" w:color="CBD6E0"/>
            </w:tcBorders>
          </w:tcPr>
          <w:p>
            <w:pPr>
              <w:jc w:val="center"/>
            </w:pPr>
            <w:r>
              <w:rPr>
                <w:rFonts w:ascii="Aptos Display" w:hAnsi="Aptos Display"/>
                <w:b/>
                <w:color w:val="2166A5"/>
                <w:sz w:val="34"/>
              </w:rPr>
              <w:t>3.4%</w:t>
            </w:r>
          </w:p>
          <w:p>
            <w:pPr>
              <w:spacing w:after="40"/>
              <w:jc w:val="center"/>
            </w:pPr>
            <w:r>
              <w:rPr>
                <w:rFonts w:ascii="Aptos" w:hAnsi="Aptos"/>
                <w:b/>
                <w:color w:val="182433"/>
                <w:sz w:val="16"/>
              </w:rPr>
              <w:t>2026 rate increase</w:t>
            </w:r>
          </w:p>
          <w:p>
            <w:pPr>
              <w:spacing w:after="0"/>
              <w:jc w:val="center"/>
            </w:pPr>
            <w:r>
              <w:rPr>
                <w:rFonts w:ascii="Aptos" w:hAnsi="Aptos"/>
                <w:color w:val="5E6B78"/>
                <w:sz w:val="14"/>
              </w:rPr>
              <w:t>Down from prior 6.4%</w:t>
            </w:r>
          </w:p>
        </w:tc>
        <w:tc>
          <w:tcPr>
            <w:tcW w:type="dxa" w:w="3288"/>
            <w:shd w:fill="EFF5F9"/>
            <w:tcMar>
              <w:top w:w="130" w:type="dxa"/>
              <w:start w:w="120" w:type="dxa"/>
              <w:bottom w:w="120" w:type="dxa"/>
              <w:end w:w="120" w:type="dxa"/>
            </w:tcMar>
            <w:tcBorders>
              <w:top w:val="single" w:sz="8" w:color="2F7D5A"/>
              <w:left w:val="single" w:sz="3" w:color="CBD6E0"/>
              <w:bottom w:val="single" w:sz="3" w:color="CBD6E0"/>
              <w:right w:val="single" w:sz="3" w:color="CBD6E0"/>
            </w:tcBorders>
          </w:tcPr>
          <w:p>
            <w:pPr>
              <w:jc w:val="center"/>
            </w:pPr>
            <w:r>
              <w:rPr>
                <w:rFonts w:ascii="Aptos Display" w:hAnsi="Aptos Display"/>
                <w:b/>
                <w:color w:val="2F7D5A"/>
                <w:sz w:val="34"/>
              </w:rPr>
              <w:t>$5.764B</w:t>
            </w:r>
          </w:p>
          <w:p>
            <w:pPr>
              <w:spacing w:after="40"/>
              <w:jc w:val="center"/>
            </w:pPr>
            <w:r>
              <w:rPr>
                <w:rFonts w:ascii="Aptos" w:hAnsi="Aptos"/>
                <w:b/>
                <w:color w:val="182433"/>
                <w:sz w:val="16"/>
              </w:rPr>
              <w:t>10-year capital plans</w:t>
            </w:r>
          </w:p>
          <w:p>
            <w:pPr>
              <w:spacing w:after="0"/>
              <w:jc w:val="center"/>
            </w:pPr>
            <w:r>
              <w:rPr>
                <w:rFonts w:ascii="Aptos" w:hAnsi="Aptos"/>
                <w:color w:val="5E6B78"/>
                <w:sz w:val="14"/>
              </w:rPr>
              <w:t>Three support types</w:t>
            </w:r>
          </w:p>
        </w:tc>
      </w:tr>
    </w:tbl>
    <w:p>
      <w:pPr>
        <w:spacing w:after="0"/>
      </w:pPr>
    </w:p>
    <w:p>
      <w:pPr>
        <w:spacing w:after="100"/>
      </w:pPr>
      <w:r>
        <w:t>The 2026 Annual Budget Update reports $1.467820 billion in property-tax-supported operating expenditures, $541.735 million in non-tax revenue and a $926.085 million tax levy. The corresponding 2024–2033 capital plans total $3.588 billion property-tax supported, $707 million water supported and $1.469 billion wastewater-and-treatment supported. These support types must not be collapsed into an unlabeled total.</w:t>
      </w:r>
    </w:p>
    <w:p>
      <w:pPr>
        <w:spacing w:after="60"/>
        <w:jc w:val="center"/>
      </w:pPr>
      <w:r>
        <w:drawing>
          <wp:inline xmlns:a="http://schemas.openxmlformats.org/drawingml/2006/main" xmlns:pic="http://schemas.openxmlformats.org/drawingml/2006/picture">
            <wp:extent cx="6126480" cy="3018069"/>
            <wp:docPr id="1" name="Picture 1" descr="Stacked column chart of the approved 2024–2033 capital plan by property-tax, water, and wastewater support type." title="Figure 1"/>
            <wp:cNvGraphicFramePr>
              <a:graphicFrameLocks noChangeAspect="1"/>
            </wp:cNvGraphicFramePr>
            <a:graphic>
              <a:graphicData uri="http://schemas.openxmlformats.org/drawingml/2006/picture">
                <pic:pic>
                  <pic:nvPicPr>
                    <pic:cNvPr id="0" name="capital_plan.png"/>
                    <pic:cNvPicPr/>
                  </pic:nvPicPr>
                  <pic:blipFill>
                    <a:blip r:embed="rId9"/>
                    <a:stretch>
                      <a:fillRect/>
                    </a:stretch>
                  </pic:blipFill>
                  <pic:spPr>
                    <a:xfrm>
                      <a:off x="0" y="0"/>
                      <a:ext cx="6126480" cy="3018069"/>
                    </a:xfrm>
                    <a:prstGeom prst="rect"/>
                  </pic:spPr>
                </pic:pic>
              </a:graphicData>
            </a:graphic>
          </wp:inline>
        </w:drawing>
      </w:r>
    </w:p>
    <w:p>
      <w:pPr>
        <w:pStyle w:val="Caption"/>
        <w:spacing w:after="140"/>
        <w:jc w:val="center"/>
      </w:pPr>
      <w:r>
        <w:t>Figure 1. Approved capital authority, not payment or final cost. Source: S01.</w:t>
      </w:r>
    </w:p>
    <w:p>
      <w:pPr>
        <w:spacing w:before="40" w:after="100"/>
      </w:pPr>
      <w:r>
        <w:rPr>
          <w:rFonts w:ascii="Aptos" w:hAnsi="Aptos"/>
          <w:b/>
          <w:color w:val="2166A5"/>
          <w:sz w:val="14"/>
        </w:rPr>
        <w:t xml:space="preserve">SOURCE LOCK  </w:t>
      </w:r>
      <w:r>
        <w:rPr>
          <w:rFonts w:ascii="Aptos" w:hAnsi="Aptos"/>
          <w:b/>
          <w:color w:val="182433"/>
          <w:sz w:val="14"/>
        </w:rPr>
        <w:t>S01</w:t>
      </w:r>
    </w:p>
    <w:p>
      <w:pPr>
        <w:pStyle w:val="Heading2"/>
      </w:pPr>
      <w:r>
        <w:t>3.2 2024 audited operating expenses</w:t>
      </w:r>
    </w:p>
    <w:p>
      <w:pPr>
        <w:spacing w:after="100"/>
      </w:pPr>
      <w:r>
        <w:t>The 2024 Consolidated Statement of Operations is the most recent functional budget-versus-actual table reproduced at service-function level in this ledger. Actual expenses were below budget in eight of nine PSAB functions; transportation was 3.6% above budget. The largest percentage gaps were social housing (−28.2%) and planning and development (−24.4%). Those are screening results, not explanations.</w:t>
      </w:r>
    </w:p>
    <w:p>
      <w:pPr>
        <w:spacing w:after="60"/>
        <w:jc w:val="center"/>
      </w:pPr>
      <w:r>
        <w:drawing>
          <wp:inline xmlns:a="http://schemas.openxmlformats.org/drawingml/2006/main" xmlns:pic="http://schemas.openxmlformats.org/drawingml/2006/picture">
            <wp:extent cx="6126480" cy="3722125"/>
            <wp:docPr id="2" name="Picture 2" descr="Horizontal bar chart comparing 2024 budget and actual operating expenses by PSAB function." title="Figure 2"/>
            <wp:cNvGraphicFramePr>
              <a:graphicFrameLocks noChangeAspect="1"/>
            </wp:cNvGraphicFramePr>
            <a:graphic>
              <a:graphicData uri="http://schemas.openxmlformats.org/drawingml/2006/picture">
                <pic:pic>
                  <pic:nvPicPr>
                    <pic:cNvPr id="0" name="operating_budget.png"/>
                    <pic:cNvPicPr/>
                  </pic:nvPicPr>
                  <pic:blipFill>
                    <a:blip r:embed="rId10"/>
                    <a:stretch>
                      <a:fillRect/>
                    </a:stretch>
                  </pic:blipFill>
                  <pic:spPr>
                    <a:xfrm>
                      <a:off x="0" y="0"/>
                      <a:ext cx="6126480" cy="3722125"/>
                    </a:xfrm>
                    <a:prstGeom prst="rect"/>
                  </pic:spPr>
                </pic:pic>
              </a:graphicData>
            </a:graphic>
          </wp:inline>
        </w:drawing>
      </w:r>
    </w:p>
    <w:p>
      <w:pPr>
        <w:pStyle w:val="Caption"/>
        <w:spacing w:after="140"/>
        <w:jc w:val="center"/>
      </w:pPr>
      <w:r>
        <w:t>Figure 2. Broad PSAB functions; they are not individual services or facilities. Source: S11.</w:t>
      </w:r>
    </w:p>
    <w:tbl>
      <w:tblPr>
        <w:tblW w:type="auto" w:w="0"/>
        <w:jc w:val="center"/>
        <w:tblLayout w:type="fixed"/>
        <w:tblLook w:firstColumn="1" w:firstRow="1" w:lastColumn="0" w:lastRow="0" w:noHBand="0" w:noVBand="1" w:val="04A0"/>
      </w:tblPr>
      <w:tblGrid>
        <w:gridCol w:w="2527"/>
        <w:gridCol w:w="2527"/>
        <w:gridCol w:w="2527"/>
        <w:gridCol w:w="2527"/>
      </w:tblGrid>
      <w:tr>
        <w:trPr>
          <w:tblHeader w:val="true"/>
        </w:trPr>
        <w:tc>
          <w:tcPr>
            <w:tcW w:type="dxa" w:w="3888"/>
            <w:shd w:fill="17365D"/>
            <w:tcMar>
              <w:top w:w="90" w:type="dxa"/>
              <w:start w:w="90" w:type="dxa"/>
              <w:bottom w:w="90" w:type="dxa"/>
              <w:end w:w="90" w:type="dxa"/>
            </w:tcMar>
          </w:tcPr>
          <w:p>
            <w:pPr>
              <w:spacing w:after="0"/>
            </w:pPr>
            <w:r>
              <w:rPr>
                <w:rFonts w:ascii="Aptos" w:hAnsi="Aptos"/>
                <w:b/>
                <w:color w:val="FFFFFF"/>
                <w:sz w:val="16"/>
              </w:rPr>
              <w:t>PSAB function</w:t>
            </w:r>
          </w:p>
        </w:tc>
        <w:tc>
          <w:tcPr>
            <w:tcW w:type="dxa" w:w="1728"/>
            <w:shd w:fill="17365D"/>
            <w:tcMar>
              <w:top w:w="90" w:type="dxa"/>
              <w:start w:w="90" w:type="dxa"/>
              <w:bottom w:w="90" w:type="dxa"/>
              <w:end w:w="90" w:type="dxa"/>
            </w:tcMar>
          </w:tcPr>
          <w:p>
            <w:pPr>
              <w:spacing w:after="0"/>
            </w:pPr>
            <w:r>
              <w:rPr>
                <w:rFonts w:ascii="Aptos" w:hAnsi="Aptos"/>
                <w:b/>
                <w:color w:val="FFFFFF"/>
                <w:sz w:val="16"/>
              </w:rPr>
              <w:t>Budget</w:t>
            </w:r>
          </w:p>
        </w:tc>
        <w:tc>
          <w:tcPr>
            <w:tcW w:type="dxa" w:w="1728"/>
            <w:shd w:fill="17365D"/>
            <w:tcMar>
              <w:top w:w="90" w:type="dxa"/>
              <w:start w:w="90" w:type="dxa"/>
              <w:bottom w:w="90" w:type="dxa"/>
              <w:end w:w="90" w:type="dxa"/>
            </w:tcMar>
          </w:tcPr>
          <w:p>
            <w:pPr>
              <w:spacing w:after="0"/>
            </w:pPr>
            <w:r>
              <w:rPr>
                <w:rFonts w:ascii="Aptos" w:hAnsi="Aptos"/>
                <w:b/>
                <w:color w:val="FFFFFF"/>
                <w:sz w:val="16"/>
              </w:rPr>
              <w:t>Actual</w:t>
            </w:r>
          </w:p>
        </w:tc>
        <w:tc>
          <w:tcPr>
            <w:tcW w:type="dxa" w:w="1440"/>
            <w:shd w:fill="17365D"/>
            <w:tcMar>
              <w:top w:w="90" w:type="dxa"/>
              <w:start w:w="90" w:type="dxa"/>
              <w:bottom w:w="90" w:type="dxa"/>
              <w:end w:w="90" w:type="dxa"/>
            </w:tcMar>
          </w:tcPr>
          <w:p>
            <w:pPr>
              <w:spacing w:after="0"/>
            </w:pPr>
            <w:r>
              <w:rPr>
                <w:rFonts w:ascii="Aptos" w:hAnsi="Aptos"/>
                <w:b/>
                <w:color w:val="FFFFFF"/>
                <w:sz w:val="16"/>
              </w:rPr>
              <w:t>Variance</w:t>
            </w:r>
          </w:p>
        </w:tc>
      </w:tr>
      <w:tr>
        <w:trPr>
          <w:cantSplit/>
        </w:trPr>
        <w:tc>
          <w:tcPr>
            <w:tcW w:type="dxa" w:w="3888"/>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6"/>
              </w:rPr>
              <w:t>General government</w:t>
            </w:r>
          </w:p>
        </w:tc>
        <w:tc>
          <w:tcPr>
            <w:tcW w:type="dxa" w:w="1728"/>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6"/>
              </w:rPr>
              <w:t>$123.1M</w:t>
            </w:r>
          </w:p>
        </w:tc>
        <w:tc>
          <w:tcPr>
            <w:tcW w:type="dxa" w:w="1728"/>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6"/>
              </w:rPr>
              <w:t>$101.1M</w:t>
            </w:r>
          </w:p>
        </w:tc>
        <w:tc>
          <w:tcPr>
            <w:tcW w:type="dxa" w:w="144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6"/>
              </w:rPr>
              <w:t>−17.9%</w:t>
            </w:r>
          </w:p>
        </w:tc>
      </w:tr>
      <w:tr>
        <w:trPr>
          <w:cantSplit/>
        </w:trPr>
        <w:tc>
          <w:tcPr>
            <w:tcW w:type="dxa" w:w="3888"/>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6"/>
              </w:rPr>
              <w:t>Protection</w:t>
            </w:r>
          </w:p>
        </w:tc>
        <w:tc>
          <w:tcPr>
            <w:tcW w:type="dxa" w:w="1728"/>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6"/>
              </w:rPr>
              <w:t>$299.3M</w:t>
            </w:r>
          </w:p>
        </w:tc>
        <w:tc>
          <w:tcPr>
            <w:tcW w:type="dxa" w:w="1728"/>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6"/>
              </w:rPr>
              <w:t>$290.8M</w:t>
            </w:r>
          </w:p>
        </w:tc>
        <w:tc>
          <w:tcPr>
            <w:tcW w:type="dxa" w:w="144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6"/>
              </w:rPr>
              <w:t>−2.8%</w:t>
            </w:r>
          </w:p>
        </w:tc>
      </w:tr>
      <w:tr>
        <w:trPr>
          <w:cantSplit/>
        </w:trPr>
        <w:tc>
          <w:tcPr>
            <w:tcW w:type="dxa" w:w="3888"/>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6"/>
              </w:rPr>
              <w:t>Transportation</w:t>
            </w:r>
          </w:p>
        </w:tc>
        <w:tc>
          <w:tcPr>
            <w:tcW w:type="dxa" w:w="1728"/>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6"/>
              </w:rPr>
              <w:t>$268.1M</w:t>
            </w:r>
          </w:p>
        </w:tc>
        <w:tc>
          <w:tcPr>
            <w:tcW w:type="dxa" w:w="1728"/>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6"/>
              </w:rPr>
              <w:t>$277.7M</w:t>
            </w:r>
          </w:p>
        </w:tc>
        <w:tc>
          <w:tcPr>
            <w:tcW w:type="dxa" w:w="144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6"/>
              </w:rPr>
              <w:t>+3.6%</w:t>
            </w:r>
          </w:p>
        </w:tc>
      </w:tr>
      <w:tr>
        <w:trPr>
          <w:cantSplit/>
        </w:trPr>
        <w:tc>
          <w:tcPr>
            <w:tcW w:type="dxa" w:w="3888"/>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6"/>
              </w:rPr>
              <w:t>Environmental</w:t>
            </w:r>
          </w:p>
        </w:tc>
        <w:tc>
          <w:tcPr>
            <w:tcW w:type="dxa" w:w="1728"/>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6"/>
              </w:rPr>
              <w:t>$217.1M</w:t>
            </w:r>
          </w:p>
        </w:tc>
        <w:tc>
          <w:tcPr>
            <w:tcW w:type="dxa" w:w="1728"/>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6"/>
              </w:rPr>
              <w:t>$207.4M</w:t>
            </w:r>
          </w:p>
        </w:tc>
        <w:tc>
          <w:tcPr>
            <w:tcW w:type="dxa" w:w="144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6"/>
              </w:rPr>
              <w:t>−4.4%</w:t>
            </w:r>
          </w:p>
        </w:tc>
      </w:tr>
      <w:tr>
        <w:trPr>
          <w:cantSplit/>
        </w:trPr>
        <w:tc>
          <w:tcPr>
            <w:tcW w:type="dxa" w:w="3888"/>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6"/>
              </w:rPr>
              <w:t>Health</w:t>
            </w:r>
          </w:p>
        </w:tc>
        <w:tc>
          <w:tcPr>
            <w:tcW w:type="dxa" w:w="1728"/>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6"/>
              </w:rPr>
              <w:t>$46.6M</w:t>
            </w:r>
          </w:p>
        </w:tc>
        <w:tc>
          <w:tcPr>
            <w:tcW w:type="dxa" w:w="1728"/>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6"/>
              </w:rPr>
              <w:t>$43.5M</w:t>
            </w:r>
          </w:p>
        </w:tc>
        <w:tc>
          <w:tcPr>
            <w:tcW w:type="dxa" w:w="144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6"/>
              </w:rPr>
              <w:t>−6.6%</w:t>
            </w:r>
          </w:p>
        </w:tc>
      </w:tr>
      <w:tr>
        <w:trPr>
          <w:cantSplit/>
        </w:trPr>
        <w:tc>
          <w:tcPr>
            <w:tcW w:type="dxa" w:w="3888"/>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6"/>
              </w:rPr>
              <w:t>Social &amp; family</w:t>
            </w:r>
          </w:p>
        </w:tc>
        <w:tc>
          <w:tcPr>
            <w:tcW w:type="dxa" w:w="1728"/>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6"/>
              </w:rPr>
              <w:t>$380.0M</w:t>
            </w:r>
          </w:p>
        </w:tc>
        <w:tc>
          <w:tcPr>
            <w:tcW w:type="dxa" w:w="1728"/>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6"/>
              </w:rPr>
              <w:t>$353.0M</w:t>
            </w:r>
          </w:p>
        </w:tc>
        <w:tc>
          <w:tcPr>
            <w:tcW w:type="dxa" w:w="144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6"/>
              </w:rPr>
              <w:t>−7.1%</w:t>
            </w:r>
          </w:p>
        </w:tc>
      </w:tr>
      <w:tr>
        <w:trPr>
          <w:cantSplit/>
        </w:trPr>
        <w:tc>
          <w:tcPr>
            <w:tcW w:type="dxa" w:w="3888"/>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6"/>
              </w:rPr>
              <w:t>Social housing</w:t>
            </w:r>
          </w:p>
        </w:tc>
        <w:tc>
          <w:tcPr>
            <w:tcW w:type="dxa" w:w="1728"/>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6"/>
              </w:rPr>
              <w:t>$107.6M</w:t>
            </w:r>
          </w:p>
        </w:tc>
        <w:tc>
          <w:tcPr>
            <w:tcW w:type="dxa" w:w="1728"/>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6"/>
              </w:rPr>
              <w:t>$77.3M</w:t>
            </w:r>
          </w:p>
        </w:tc>
        <w:tc>
          <w:tcPr>
            <w:tcW w:type="dxa" w:w="144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6"/>
              </w:rPr>
              <w:t>−28.2%</w:t>
            </w:r>
          </w:p>
        </w:tc>
      </w:tr>
      <w:tr>
        <w:trPr>
          <w:cantSplit/>
        </w:trPr>
        <w:tc>
          <w:tcPr>
            <w:tcW w:type="dxa" w:w="3888"/>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6"/>
              </w:rPr>
              <w:t>Recreation &amp; culture</w:t>
            </w:r>
          </w:p>
        </w:tc>
        <w:tc>
          <w:tcPr>
            <w:tcW w:type="dxa" w:w="1728"/>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6"/>
              </w:rPr>
              <w:t>$104.8M</w:t>
            </w:r>
          </w:p>
        </w:tc>
        <w:tc>
          <w:tcPr>
            <w:tcW w:type="dxa" w:w="1728"/>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6"/>
              </w:rPr>
              <w:t>$103.5M</w:t>
            </w:r>
          </w:p>
        </w:tc>
        <w:tc>
          <w:tcPr>
            <w:tcW w:type="dxa" w:w="144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6"/>
              </w:rPr>
              <w:t>−1.3%</w:t>
            </w:r>
          </w:p>
        </w:tc>
      </w:tr>
      <w:tr>
        <w:trPr>
          <w:cantSplit/>
        </w:trPr>
        <w:tc>
          <w:tcPr>
            <w:tcW w:type="dxa" w:w="3888"/>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6"/>
              </w:rPr>
              <w:t>Planning &amp; development</w:t>
            </w:r>
          </w:p>
        </w:tc>
        <w:tc>
          <w:tcPr>
            <w:tcW w:type="dxa" w:w="1728"/>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6"/>
              </w:rPr>
              <w:t>$61.1M</w:t>
            </w:r>
          </w:p>
        </w:tc>
        <w:tc>
          <w:tcPr>
            <w:tcW w:type="dxa" w:w="1728"/>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6"/>
              </w:rPr>
              <w:t>$46.2M</w:t>
            </w:r>
          </w:p>
        </w:tc>
        <w:tc>
          <w:tcPr>
            <w:tcW w:type="dxa" w:w="144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6"/>
              </w:rPr>
              <w:t>−24.4%</w:t>
            </w:r>
          </w:p>
        </w:tc>
      </w:tr>
    </w:tbl>
    <w:p>
      <w:pPr>
        <w:spacing w:after="0"/>
      </w:pPr>
    </w:p>
    <w:p>
      <w:pPr>
        <w:spacing w:before="40" w:after="100"/>
      </w:pPr>
      <w:r>
        <w:rPr>
          <w:rFonts w:ascii="Aptos" w:hAnsi="Aptos"/>
          <w:b/>
          <w:color w:val="2166A5"/>
          <w:sz w:val="14"/>
        </w:rPr>
        <w:t xml:space="preserve">SOURCE LOCK  </w:t>
      </w:r>
      <w:r>
        <w:rPr>
          <w:rFonts w:ascii="Aptos" w:hAnsi="Aptos"/>
          <w:b/>
          <w:color w:val="182433"/>
          <w:sz w:val="14"/>
        </w:rPr>
        <w:t>S11</w:t>
      </w:r>
    </w:p>
    <w:p>
      <w:pPr>
        <w:pStyle w:val="Heading2"/>
      </w:pPr>
      <w:r>
        <w:t>3.3 2025 audited update</w:t>
      </w:r>
    </w:p>
    <w:tbl>
      <w:tblPr>
        <w:tblW w:type="auto" w:w="0"/>
        <w:jc w:val="center"/>
        <w:tblLayout w:type="fixed"/>
        <w:tblLook w:firstColumn="1" w:firstRow="1" w:lastColumn="0" w:lastRow="0" w:noHBand="0" w:noVBand="1" w:val="04A0"/>
      </w:tblPr>
      <w:tblGrid>
        <w:gridCol w:w="115"/>
        <w:gridCol w:w="9648"/>
      </w:tblGrid>
      <w:tr>
        <w:tc>
          <w:tcPr>
            <w:tcW w:type="dxa" w:w="5054"/>
            <w:shd w:fill="2166A5"/>
            <w:tcMar>
              <w:top w:w="0" w:type="dxa"/>
              <w:start w:w="0" w:type="dxa"/>
              <w:bottom w:w="0" w:type="dxa"/>
              <w:end w:w="0" w:type="dxa"/>
            </w:tcMar>
          </w:tcPr>
          <w:p/>
        </w:tc>
        <w:tc>
          <w:tcPr>
            <w:tcW w:type="dxa" w:w="5054"/>
            <w:shd w:fill="D9EAF7"/>
            <w:tcMar>
              <w:top w:w="130" w:type="dxa"/>
              <w:start w:w="160" w:type="dxa"/>
              <w:bottom w:w="130" w:type="dxa"/>
              <w:end w:w="160" w:type="dxa"/>
            </w:tcMar>
            <w:tcBorders>
              <w:top w:val="single" w:sz="4" w:color="CBD6E0"/>
              <w:bottom w:val="single" w:sz="4" w:color="CBD6E0"/>
              <w:right w:val="single" w:sz="4" w:color="CBD6E0"/>
            </w:tcBorders>
          </w:tcPr>
          <w:p>
            <w:pPr>
              <w:spacing w:after="60"/>
            </w:pPr>
            <w:r>
              <w:rPr>
                <w:rFonts w:ascii="Aptos" w:hAnsi="Aptos"/>
                <w:b/>
                <w:color w:val="2166A5"/>
                <w:sz w:val="18"/>
              </w:rPr>
              <w:t>Audited annual surplus</w:t>
            </w:r>
          </w:p>
          <w:p>
            <w:pPr>
              <w:spacing w:after="0" w:line="252" w:lineRule="auto"/>
            </w:pPr>
            <w:r>
              <w:t>Budget $281.085M · Actual $463.734M · Variance +$182.649M (+65.0%). This PSAB figure includes accrual accounting, capital contributions and non-cash items; it is not the tax-supported operating surplus and is not unrestricted cash.</w:t>
            </w:r>
          </w:p>
        </w:tc>
      </w:tr>
    </w:tbl>
    <w:p>
      <w:pPr>
        <w:spacing w:after="0"/>
      </w:pPr>
    </w:p>
    <w:p>
      <w:pPr>
        <w:spacing w:after="100"/>
      </w:pPr>
      <w:r>
        <w:t>The 2025 statements were released in July 2026. They update the annual-surplus line and preserve the 2024 comparator of $418.052 million. The neutral accountability question is why actual and budget diverged—not whether the City “beat” a performance target. The City’s 2025 consolidated financial presentation attributes the variance in part to higher-than-expected investment income and transfer payments.</w:t>
      </w:r>
    </w:p>
    <w:p>
      <w:pPr>
        <w:spacing w:before="40" w:after="100"/>
      </w:pPr>
      <w:r>
        <w:rPr>
          <w:rFonts w:ascii="Aptos" w:hAnsi="Aptos"/>
          <w:b/>
          <w:color w:val="2166A5"/>
          <w:sz w:val="14"/>
        </w:rPr>
        <w:t xml:space="preserve">SOURCE LOCK  </w:t>
      </w:r>
      <w:r>
        <w:rPr>
          <w:rFonts w:ascii="Aptos" w:hAnsi="Aptos"/>
          <w:b/>
          <w:color w:val="182433"/>
          <w:sz w:val="14"/>
        </w:rPr>
        <w:t>S12, S13</w:t>
      </w:r>
    </w:p>
    <w:p>
      <w:pPr>
        <w:pStyle w:val="Heading2"/>
      </w:pPr>
      <w:r>
        <w:t>3.4 Development-charge reserve pressure</w:t>
      </w:r>
    </w:p>
    <w:tbl>
      <w:tblPr>
        <w:tblW w:type="auto" w:w="0"/>
        <w:jc w:val="center"/>
        <w:tblLayout w:type="fixed"/>
        <w:tblLook w:firstColumn="1" w:firstRow="1" w:lastColumn="0" w:lastRow="0" w:noHBand="0" w:noVBand="1" w:val="04A0"/>
      </w:tblPr>
      <w:tblGrid>
        <w:gridCol w:w="3369"/>
        <w:gridCol w:w="3369"/>
        <w:gridCol w:w="3369"/>
      </w:tblGrid>
      <w:tr>
        <w:tc>
          <w:tcPr>
            <w:tcW w:type="dxa" w:w="3288"/>
            <w:shd w:fill="EFF5F9"/>
            <w:tcMar>
              <w:top w:w="130" w:type="dxa"/>
              <w:start w:w="120" w:type="dxa"/>
              <w:bottom w:w="120" w:type="dxa"/>
              <w:end w:w="120" w:type="dxa"/>
            </w:tcMar>
            <w:tcBorders>
              <w:top w:val="single" w:sz="8" w:color="2166A5"/>
              <w:left w:val="single" w:sz="3" w:color="CBD6E0"/>
              <w:bottom w:val="single" w:sz="3" w:color="CBD6E0"/>
              <w:right w:val="single" w:sz="3" w:color="CBD6E0"/>
            </w:tcBorders>
          </w:tcPr>
          <w:p>
            <w:pPr>
              <w:jc w:val="center"/>
            </w:pPr>
            <w:r>
              <w:rPr>
                <w:rFonts w:ascii="Aptos Display" w:hAnsi="Aptos Display"/>
                <w:b/>
                <w:color w:val="2166A5"/>
                <w:sz w:val="34"/>
              </w:rPr>
              <w:t>$68.5M</w:t>
            </w:r>
          </w:p>
          <w:p>
            <w:pPr>
              <w:spacing w:after="40"/>
              <w:jc w:val="center"/>
            </w:pPr>
            <w:r>
              <w:rPr>
                <w:rFonts w:ascii="Aptos" w:hAnsi="Aptos"/>
                <w:b/>
                <w:color w:val="182433"/>
                <w:sz w:val="16"/>
              </w:rPr>
              <w:t>2025 contributions</w:t>
            </w:r>
          </w:p>
          <w:p>
            <w:pPr>
              <w:spacing w:after="0"/>
              <w:jc w:val="center"/>
            </w:pPr>
            <w:r>
              <w:rPr>
                <w:rFonts w:ascii="Aptos" w:hAnsi="Aptos"/>
                <w:color w:val="5E6B78"/>
                <w:sz w:val="14"/>
              </w:rPr>
              <w:t>Revenue plus interest</w:t>
            </w:r>
          </w:p>
        </w:tc>
        <w:tc>
          <w:tcPr>
            <w:tcW w:type="dxa" w:w="3288"/>
            <w:shd w:fill="EFF5F9"/>
            <w:tcMar>
              <w:top w:w="130" w:type="dxa"/>
              <w:start w:w="120" w:type="dxa"/>
              <w:bottom w:w="120" w:type="dxa"/>
              <w:end w:w="120" w:type="dxa"/>
            </w:tcMar>
            <w:tcBorders>
              <w:top w:val="single" w:sz="8" w:color="A33A3A"/>
              <w:left w:val="single" w:sz="3" w:color="CBD6E0"/>
              <w:bottom w:val="single" w:sz="3" w:color="CBD6E0"/>
              <w:right w:val="single" w:sz="3" w:color="CBD6E0"/>
            </w:tcBorders>
          </w:tcPr>
          <w:p>
            <w:pPr>
              <w:jc w:val="center"/>
            </w:pPr>
            <w:r>
              <w:rPr>
                <w:rFonts w:ascii="Aptos Display" w:hAnsi="Aptos Display"/>
                <w:b/>
                <w:color w:val="A33A3A"/>
                <w:sz w:val="34"/>
              </w:rPr>
              <w:t>$106.2M</w:t>
            </w:r>
          </w:p>
          <w:p>
            <w:pPr>
              <w:spacing w:after="40"/>
              <w:jc w:val="center"/>
            </w:pPr>
            <w:r>
              <w:rPr>
                <w:rFonts w:ascii="Aptos" w:hAnsi="Aptos"/>
                <w:b/>
                <w:color w:val="182433"/>
                <w:sz w:val="16"/>
              </w:rPr>
              <w:t>2025 disbursements</w:t>
            </w:r>
          </w:p>
          <w:p>
            <w:pPr>
              <w:spacing w:after="0"/>
              <w:jc w:val="center"/>
            </w:pPr>
            <w:r>
              <w:rPr>
                <w:rFonts w:ascii="Aptos" w:hAnsi="Aptos"/>
                <w:color w:val="5E6B78"/>
                <w:sz w:val="14"/>
              </w:rPr>
              <w:t>Across 11 funds</w:t>
            </w:r>
          </w:p>
        </w:tc>
        <w:tc>
          <w:tcPr>
            <w:tcW w:type="dxa" w:w="3288"/>
            <w:shd w:fill="EFF5F9"/>
            <w:tcMar>
              <w:top w:w="130" w:type="dxa"/>
              <w:start w:w="120" w:type="dxa"/>
              <w:bottom w:w="120" w:type="dxa"/>
              <w:end w:w="120" w:type="dxa"/>
            </w:tcMar>
            <w:tcBorders>
              <w:top w:val="single" w:sz="8" w:color="B36A00"/>
              <w:left w:val="single" w:sz="3" w:color="CBD6E0"/>
              <w:bottom w:val="single" w:sz="3" w:color="CBD6E0"/>
              <w:right w:val="single" w:sz="3" w:color="CBD6E0"/>
            </w:tcBorders>
          </w:tcPr>
          <w:p>
            <w:pPr>
              <w:jc w:val="center"/>
            </w:pPr>
            <w:r>
              <w:rPr>
                <w:rFonts w:ascii="Aptos Display" w:hAnsi="Aptos Display"/>
                <w:b/>
                <w:color w:val="B36A00"/>
                <w:sz w:val="34"/>
              </w:rPr>
              <w:t>$327.1M</w:t>
            </w:r>
          </w:p>
          <w:p>
            <w:pPr>
              <w:spacing w:after="40"/>
              <w:jc w:val="center"/>
            </w:pPr>
            <w:r>
              <w:rPr>
                <w:rFonts w:ascii="Aptos" w:hAnsi="Aptos"/>
                <w:b/>
                <w:color w:val="182433"/>
                <w:sz w:val="16"/>
              </w:rPr>
              <w:t>2025 closing balance</w:t>
            </w:r>
          </w:p>
          <w:p>
            <w:pPr>
              <w:spacing w:after="0"/>
              <w:jc w:val="center"/>
            </w:pPr>
            <w:r>
              <w:rPr>
                <w:rFonts w:ascii="Aptos" w:hAnsi="Aptos"/>
                <w:color w:val="5E6B78"/>
                <w:sz w:val="14"/>
              </w:rPr>
              <w:t>Down $37.7M net</w:t>
            </w:r>
          </w:p>
        </w:tc>
      </w:tr>
    </w:tbl>
    <w:p>
      <w:pPr>
        <w:spacing w:after="0"/>
      </w:pPr>
    </w:p>
    <w:p>
      <w:pPr>
        <w:spacing w:after="100"/>
      </w:pPr>
      <w:r>
        <w:t>The 2025 report also lists $87.3 million of issued principal debt and $289.6 million of authorized-but-unissued debt. A closing reserve balance cannot be treated as free capacity without project commitments, debt timing, exemptions and growth assumptions.</w:t>
      </w:r>
    </w:p>
    <w:p>
      <w:pPr>
        <w:spacing w:after="60"/>
        <w:jc w:val="center"/>
      </w:pPr>
      <w:r>
        <w:drawing>
          <wp:inline xmlns:a="http://schemas.openxmlformats.org/drawingml/2006/main" xmlns:pic="http://schemas.openxmlformats.org/drawingml/2006/picture">
            <wp:extent cx="6126480" cy="3008417"/>
            <wp:docPr id="3" name="Picture 3" descr="Line chart showing three arithmetic development-charge reserve sensitivity scenarios over three years; the scenarios are not forecasts." title="Figure 3"/>
            <wp:cNvGraphicFramePr>
              <a:graphicFrameLocks noChangeAspect="1"/>
            </wp:cNvGraphicFramePr>
            <a:graphic>
              <a:graphicData uri="http://schemas.openxmlformats.org/drawingml/2006/picture">
                <pic:pic>
                  <pic:nvPicPr>
                    <pic:cNvPr id="0" name="dc_scenarios.png"/>
                    <pic:cNvPicPr/>
                  </pic:nvPicPr>
                  <pic:blipFill>
                    <a:blip r:embed="rId11"/>
                    <a:stretch>
                      <a:fillRect/>
                    </a:stretch>
                  </pic:blipFill>
                  <pic:spPr>
                    <a:xfrm>
                      <a:off x="0" y="0"/>
                      <a:ext cx="6126480" cy="3008417"/>
                    </a:xfrm>
                    <a:prstGeom prst="rect"/>
                  </pic:spPr>
                </pic:pic>
              </a:graphicData>
            </a:graphic>
          </wp:inline>
        </w:drawing>
      </w:r>
    </w:p>
    <w:p>
      <w:pPr>
        <w:pStyle w:val="Caption"/>
        <w:spacing w:after="140"/>
        <w:jc w:val="center"/>
      </w:pPr>
      <w:r>
        <w:t>Figure 3. Arithmetic sensitivity from the 2025 closing balance. Assumptions below. Source: S10; calculations: Appendix D.</w:t>
      </w:r>
    </w:p>
    <w:tbl>
      <w:tblPr>
        <w:tblW w:type="auto" w:w="0"/>
        <w:jc w:val="center"/>
        <w:tblLayout w:type="fixed"/>
        <w:tblLook w:firstColumn="1" w:firstRow="1" w:lastColumn="0" w:lastRow="0" w:noHBand="0" w:noVBand="1" w:val="04A0"/>
      </w:tblPr>
      <w:tblGrid>
        <w:gridCol w:w="2022"/>
        <w:gridCol w:w="2022"/>
        <w:gridCol w:w="2022"/>
        <w:gridCol w:w="2022"/>
        <w:gridCol w:w="2022"/>
      </w:tblGrid>
      <w:tr>
        <w:trPr>
          <w:tblHeader w:val="true"/>
        </w:trPr>
        <w:tc>
          <w:tcPr>
            <w:tcW w:type="dxa" w:w="1728"/>
            <w:shd w:fill="17365D"/>
            <w:tcMar>
              <w:top w:w="90" w:type="dxa"/>
              <w:start w:w="90" w:type="dxa"/>
              <w:bottom w:w="90" w:type="dxa"/>
              <w:end w:w="90" w:type="dxa"/>
            </w:tcMar>
          </w:tcPr>
          <w:p>
            <w:pPr>
              <w:spacing w:after="0"/>
            </w:pPr>
            <w:r>
              <w:rPr>
                <w:rFonts w:ascii="Aptos" w:hAnsi="Aptos"/>
                <w:b/>
                <w:color w:val="FFFFFF"/>
                <w:sz w:val="15"/>
              </w:rPr>
              <w:t>Scenario</w:t>
            </w:r>
          </w:p>
        </w:tc>
        <w:tc>
          <w:tcPr>
            <w:tcW w:type="dxa" w:w="2088"/>
            <w:shd w:fill="17365D"/>
            <w:tcMar>
              <w:top w:w="90" w:type="dxa"/>
              <w:start w:w="90" w:type="dxa"/>
              <w:bottom w:w="90" w:type="dxa"/>
              <w:end w:w="90" w:type="dxa"/>
            </w:tcMar>
          </w:tcPr>
          <w:p>
            <w:pPr>
              <w:spacing w:after="0"/>
            </w:pPr>
            <w:r>
              <w:rPr>
                <w:rFonts w:ascii="Aptos" w:hAnsi="Aptos"/>
                <w:b/>
                <w:color w:val="FFFFFF"/>
                <w:sz w:val="15"/>
              </w:rPr>
              <w:t>Annual contribution</w:t>
            </w:r>
          </w:p>
        </w:tc>
        <w:tc>
          <w:tcPr>
            <w:tcW w:type="dxa" w:w="2088"/>
            <w:shd w:fill="17365D"/>
            <w:tcMar>
              <w:top w:w="90" w:type="dxa"/>
              <w:start w:w="90" w:type="dxa"/>
              <w:bottom w:w="90" w:type="dxa"/>
              <w:end w:w="90" w:type="dxa"/>
            </w:tcMar>
          </w:tcPr>
          <w:p>
            <w:pPr>
              <w:spacing w:after="0"/>
            </w:pPr>
            <w:r>
              <w:rPr>
                <w:rFonts w:ascii="Aptos" w:hAnsi="Aptos"/>
                <w:b/>
                <w:color w:val="FFFFFF"/>
                <w:sz w:val="15"/>
              </w:rPr>
              <w:t>Annual disbursement</w:t>
            </w:r>
          </w:p>
        </w:tc>
        <w:tc>
          <w:tcPr>
            <w:tcW w:type="dxa" w:w="1944"/>
            <w:shd w:fill="17365D"/>
            <w:tcMar>
              <w:top w:w="90" w:type="dxa"/>
              <w:start w:w="90" w:type="dxa"/>
              <w:bottom w:w="90" w:type="dxa"/>
              <w:end w:w="90" w:type="dxa"/>
            </w:tcMar>
          </w:tcPr>
          <w:p>
            <w:pPr>
              <w:spacing w:after="0"/>
            </w:pPr>
            <w:r>
              <w:rPr>
                <w:rFonts w:ascii="Aptos" w:hAnsi="Aptos"/>
                <w:b/>
                <w:color w:val="FFFFFF"/>
                <w:sz w:val="15"/>
              </w:rPr>
              <w:t>Net annual change</w:t>
            </w:r>
          </w:p>
        </w:tc>
        <w:tc>
          <w:tcPr>
            <w:tcW w:type="dxa" w:w="1656"/>
            <w:shd w:fill="17365D"/>
            <w:tcMar>
              <w:top w:w="90" w:type="dxa"/>
              <w:start w:w="90" w:type="dxa"/>
              <w:bottom w:w="90" w:type="dxa"/>
              <w:end w:w="90" w:type="dxa"/>
            </w:tcMar>
          </w:tcPr>
          <w:p>
            <w:pPr>
              <w:spacing w:after="0"/>
            </w:pPr>
            <w:r>
              <w:rPr>
                <w:rFonts w:ascii="Aptos" w:hAnsi="Aptos"/>
                <w:b/>
                <w:color w:val="FFFFFF"/>
                <w:sz w:val="15"/>
              </w:rPr>
              <w:t>Year-3 balance</w:t>
            </w:r>
          </w:p>
        </w:tc>
      </w:tr>
      <w:tr>
        <w:trPr>
          <w:cantSplit/>
        </w:trPr>
        <w:tc>
          <w:tcPr>
            <w:tcW w:type="dxa" w:w="1728"/>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5"/>
              </w:rPr>
              <w:t>Repeat 2025</w:t>
            </w:r>
          </w:p>
        </w:tc>
        <w:tc>
          <w:tcPr>
            <w:tcW w:type="dxa" w:w="2088"/>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5"/>
              </w:rPr>
              <w:t>$68.5M</w:t>
            </w:r>
          </w:p>
        </w:tc>
        <w:tc>
          <w:tcPr>
            <w:tcW w:type="dxa" w:w="2088"/>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5"/>
              </w:rPr>
              <w:t>$106.2M</w:t>
            </w:r>
          </w:p>
        </w:tc>
        <w:tc>
          <w:tcPr>
            <w:tcW w:type="dxa" w:w="1944"/>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5"/>
              </w:rPr>
              <w:t>−$37.7M</w:t>
            </w:r>
          </w:p>
        </w:tc>
        <w:tc>
          <w:tcPr>
            <w:tcW w:type="dxa" w:w="1656"/>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5"/>
              </w:rPr>
              <w:t>$214.0M</w:t>
            </w:r>
          </w:p>
        </w:tc>
      </w:tr>
      <w:tr>
        <w:trPr>
          <w:cantSplit/>
        </w:trPr>
        <w:tc>
          <w:tcPr>
            <w:tcW w:type="dxa" w:w="1728"/>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5"/>
              </w:rPr>
              <w:t>High stress</w:t>
            </w:r>
          </w:p>
        </w:tc>
        <w:tc>
          <w:tcPr>
            <w:tcW w:type="dxa" w:w="2088"/>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5"/>
              </w:rPr>
              <w:t>$54.8M (−20%)</w:t>
            </w:r>
          </w:p>
        </w:tc>
        <w:tc>
          <w:tcPr>
            <w:tcW w:type="dxa" w:w="2088"/>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5"/>
              </w:rPr>
              <w:t>$116.8M (+10%)</w:t>
            </w:r>
          </w:p>
        </w:tc>
        <w:tc>
          <w:tcPr>
            <w:tcW w:type="dxa" w:w="1944"/>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5"/>
              </w:rPr>
              <w:t>−$62.0M</w:t>
            </w:r>
          </w:p>
        </w:tc>
        <w:tc>
          <w:tcPr>
            <w:tcW w:type="dxa" w:w="1656"/>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5"/>
              </w:rPr>
              <w:t>$141.1M</w:t>
            </w:r>
          </w:p>
        </w:tc>
      </w:tr>
      <w:tr>
        <w:trPr>
          <w:cantSplit/>
        </w:trPr>
        <w:tc>
          <w:tcPr>
            <w:tcW w:type="dxa" w:w="1728"/>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5"/>
              </w:rPr>
              <w:t>Recovery</w:t>
            </w:r>
          </w:p>
        </w:tc>
        <w:tc>
          <w:tcPr>
            <w:tcW w:type="dxa" w:w="2088"/>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5"/>
              </w:rPr>
              <w:t>$89.1M (+30%)</w:t>
            </w:r>
          </w:p>
        </w:tc>
        <w:tc>
          <w:tcPr>
            <w:tcW w:type="dxa" w:w="2088"/>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5"/>
              </w:rPr>
              <w:t>$106.2M</w:t>
            </w:r>
          </w:p>
        </w:tc>
        <w:tc>
          <w:tcPr>
            <w:tcW w:type="dxa" w:w="1944"/>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5"/>
              </w:rPr>
              <w:t>−$17.1M</w:t>
            </w:r>
          </w:p>
        </w:tc>
        <w:tc>
          <w:tcPr>
            <w:tcW w:type="dxa" w:w="1656"/>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5"/>
              </w:rPr>
              <w:t>$275.8M</w:t>
            </w:r>
          </w:p>
        </w:tc>
      </w:tr>
    </w:tbl>
    <w:p>
      <w:pPr>
        <w:spacing w:after="0"/>
      </w:pPr>
    </w:p>
    <w:tbl>
      <w:tblPr>
        <w:tblW w:type="auto" w:w="0"/>
        <w:jc w:val="center"/>
        <w:tblLayout w:type="fixed"/>
        <w:tblLook w:firstColumn="1" w:firstRow="1" w:lastColumn="0" w:lastRow="0" w:noHBand="0" w:noVBand="1" w:val="04A0"/>
      </w:tblPr>
      <w:tblGrid>
        <w:gridCol w:w="115"/>
        <w:gridCol w:w="9648"/>
      </w:tblGrid>
      <w:tr>
        <w:tc>
          <w:tcPr>
            <w:tcW w:type="dxa" w:w="5054"/>
            <w:shd w:fill="B36A00"/>
            <w:tcMar>
              <w:top w:w="0" w:type="dxa"/>
              <w:start w:w="0" w:type="dxa"/>
              <w:bottom w:w="0" w:type="dxa"/>
              <w:end w:w="0" w:type="dxa"/>
            </w:tcMar>
          </w:tcPr>
          <w:p/>
        </w:tc>
        <w:tc>
          <w:tcPr>
            <w:tcW w:type="dxa" w:w="5054"/>
            <w:shd w:fill="FFF1D6"/>
            <w:tcMar>
              <w:top w:w="130" w:type="dxa"/>
              <w:start w:w="160" w:type="dxa"/>
              <w:bottom w:w="130" w:type="dxa"/>
              <w:end w:w="160" w:type="dxa"/>
            </w:tcMar>
            <w:tcBorders>
              <w:top w:val="single" w:sz="4" w:color="CBD6E0"/>
              <w:bottom w:val="single" w:sz="4" w:color="CBD6E0"/>
              <w:right w:val="single" w:sz="4" w:color="CBD6E0"/>
            </w:tcBorders>
          </w:tcPr>
          <w:p>
            <w:pPr>
              <w:spacing w:after="60"/>
            </w:pPr>
            <w:r>
              <w:rPr>
                <w:rFonts w:ascii="Aptos" w:hAnsi="Aptos"/>
                <w:b/>
                <w:color w:val="B36A00"/>
                <w:sz w:val="18"/>
              </w:rPr>
              <w:t>Do not call this a forecast</w:t>
            </w:r>
          </w:p>
          <w:p>
            <w:pPr>
              <w:spacing w:after="0" w:line="252" w:lineRule="auto"/>
            </w:pPr>
            <w:r>
              <w:t>The scenarios hold all other factors constant and ignore project closures, new approvals, interest, debt issuance, exemption changes and timing. They show sensitivity to the observed 2025 cash-flow relationship; they do not predict insolvency.</w:t>
            </w:r>
          </w:p>
        </w:tc>
      </w:tr>
    </w:tbl>
    <w:p>
      <w:pPr>
        <w:spacing w:after="0"/>
      </w:pPr>
    </w:p>
    <w:p>
      <w:pPr>
        <w:spacing w:before="40" w:after="100"/>
      </w:pPr>
      <w:r>
        <w:rPr>
          <w:rFonts w:ascii="Aptos" w:hAnsi="Aptos"/>
          <w:b/>
          <w:color w:val="2166A5"/>
          <w:sz w:val="14"/>
        </w:rPr>
        <w:t xml:space="preserve">SOURCE LOCK  </w:t>
      </w:r>
      <w:r>
        <w:rPr>
          <w:rFonts w:ascii="Aptos" w:hAnsi="Aptos"/>
          <w:b/>
          <w:color w:val="182433"/>
          <w:sz w:val="14"/>
        </w:rPr>
        <w:t>S09, S10</w:t>
      </w:r>
    </w:p>
    <w:p>
      <w:pPr>
        <w:pageBreakBefore/>
        <w:spacing w:after="60"/>
      </w:pPr>
      <w:r>
        <w:rPr>
          <w:rFonts w:ascii="Aptos" w:hAnsi="Aptos"/>
          <w:b/>
          <w:color w:val="2166A5"/>
          <w:sz w:val="16"/>
        </w:rPr>
        <w:t>PART 4</w:t>
      </w:r>
    </w:p>
    <w:p>
      <w:pPr>
        <w:pStyle w:val="Heading1"/>
      </w:pPr>
      <w:r>
        <w:t>Capital condition and project dossiers</w:t>
      </w:r>
    </w:p>
    <w:p>
      <w:pPr>
        <w:pStyle w:val="Heading2"/>
      </w:pPr>
      <w:r>
        <w:t>4.1 Infrastructure renewal gap</w:t>
      </w:r>
    </w:p>
    <w:p>
      <w:pPr>
        <w:spacing w:after="60"/>
        <w:jc w:val="center"/>
      </w:pPr>
      <w:r>
        <w:drawing>
          <wp:inline xmlns:a="http://schemas.openxmlformats.org/drawingml/2006/main" xmlns:pic="http://schemas.openxmlformats.org/drawingml/2006/picture">
            <wp:extent cx="6126480" cy="2815983"/>
            <wp:docPr id="4" name="Picture 4" descr="Area chart showing the published 10-year infrastructure-renewal gap rising from $466.1 million in 2014 to $946.1 million in 2023." title="Figure 4"/>
            <wp:cNvGraphicFramePr>
              <a:graphicFrameLocks noChangeAspect="1"/>
            </wp:cNvGraphicFramePr>
            <a:graphic>
              <a:graphicData uri="http://schemas.openxmlformats.org/drawingml/2006/picture">
                <pic:pic>
                  <pic:nvPicPr>
                    <pic:cNvPr id="0" name="infrastructure_gap.png"/>
                    <pic:cNvPicPr/>
                  </pic:nvPicPr>
                  <pic:blipFill>
                    <a:blip r:embed="rId12"/>
                    <a:stretch>
                      <a:fillRect/>
                    </a:stretch>
                  </pic:blipFill>
                  <pic:spPr>
                    <a:xfrm>
                      <a:off x="0" y="0"/>
                      <a:ext cx="6126480" cy="2815983"/>
                    </a:xfrm>
                    <a:prstGeom prst="rect"/>
                  </pic:spPr>
                </pic:pic>
              </a:graphicData>
            </a:graphic>
          </wp:inline>
        </w:drawing>
      </w:r>
    </w:p>
    <w:p>
      <w:pPr>
        <w:pStyle w:val="Caption"/>
        <w:spacing w:after="140"/>
        <w:jc w:val="center"/>
      </w:pPr>
      <w:r>
        <w:t>Figure 4. Ten-year maintain-current gap in each published asset-management cycle. Source: S04.</w:t>
      </w:r>
    </w:p>
    <w:tbl>
      <w:tblPr>
        <w:tblW w:type="auto" w:w="0"/>
        <w:jc w:val="center"/>
        <w:tblLayout w:type="fixed"/>
        <w:tblLook w:firstColumn="1" w:firstRow="1" w:lastColumn="0" w:lastRow="0" w:noHBand="0" w:noVBand="1" w:val="04A0"/>
      </w:tblPr>
      <w:tblGrid>
        <w:gridCol w:w="3369"/>
        <w:gridCol w:w="3369"/>
        <w:gridCol w:w="3369"/>
      </w:tblGrid>
      <w:tr>
        <w:tc>
          <w:tcPr>
            <w:tcW w:type="dxa" w:w="3288"/>
            <w:shd w:fill="EFF5F9"/>
            <w:tcMar>
              <w:top w:w="130" w:type="dxa"/>
              <w:start w:w="120" w:type="dxa"/>
              <w:bottom w:w="120" w:type="dxa"/>
              <w:end w:w="120" w:type="dxa"/>
            </w:tcMar>
            <w:tcBorders>
              <w:top w:val="single" w:sz="8" w:color="17365D"/>
              <w:left w:val="single" w:sz="3" w:color="CBD6E0"/>
              <w:bottom w:val="single" w:sz="3" w:color="CBD6E0"/>
              <w:right w:val="single" w:sz="3" w:color="CBD6E0"/>
            </w:tcBorders>
          </w:tcPr>
          <w:p>
            <w:pPr>
              <w:jc w:val="center"/>
            </w:pPr>
            <w:r>
              <w:rPr>
                <w:rFonts w:ascii="Aptos Display" w:hAnsi="Aptos Display"/>
                <w:b/>
                <w:color w:val="17365D"/>
                <w:sz w:val="34"/>
              </w:rPr>
              <w:t>$28.5B</w:t>
            </w:r>
          </w:p>
          <w:p>
            <w:pPr>
              <w:spacing w:after="40"/>
              <w:jc w:val="center"/>
            </w:pPr>
            <w:r>
              <w:rPr>
                <w:rFonts w:ascii="Aptos" w:hAnsi="Aptos"/>
                <w:b/>
                <w:color w:val="182433"/>
                <w:sz w:val="16"/>
              </w:rPr>
              <w:t>2023 replacement value</w:t>
            </w:r>
          </w:p>
          <w:p>
            <w:pPr>
              <w:spacing w:after="0"/>
              <w:jc w:val="center"/>
            </w:pPr>
            <w:r>
              <w:rPr>
                <w:rFonts w:ascii="Aptos" w:hAnsi="Aptos"/>
                <w:color w:val="5E6B78"/>
                <w:sz w:val="14"/>
              </w:rPr>
              <w:t>City-owned infrastructure</w:t>
            </w:r>
          </w:p>
        </w:tc>
        <w:tc>
          <w:tcPr>
            <w:tcW w:type="dxa" w:w="3288"/>
            <w:shd w:fill="EFF5F9"/>
            <w:tcMar>
              <w:top w:w="130" w:type="dxa"/>
              <w:start w:w="120" w:type="dxa"/>
              <w:bottom w:w="120" w:type="dxa"/>
              <w:end w:w="120" w:type="dxa"/>
            </w:tcMar>
            <w:tcBorders>
              <w:top w:val="single" w:sz="8" w:color="B36A00"/>
              <w:left w:val="single" w:sz="3" w:color="CBD6E0"/>
              <w:bottom w:val="single" w:sz="3" w:color="CBD6E0"/>
              <w:right w:val="single" w:sz="3" w:color="CBD6E0"/>
            </w:tcBorders>
          </w:tcPr>
          <w:p>
            <w:pPr>
              <w:jc w:val="center"/>
            </w:pPr>
            <w:r>
              <w:rPr>
                <w:rFonts w:ascii="Aptos Display" w:hAnsi="Aptos Display"/>
                <w:b/>
                <w:color w:val="B36A00"/>
                <w:sz w:val="34"/>
              </w:rPr>
              <w:t>$946.1M</w:t>
            </w:r>
          </w:p>
          <w:p>
            <w:pPr>
              <w:spacing w:after="40"/>
              <w:jc w:val="center"/>
            </w:pPr>
            <w:r>
              <w:rPr>
                <w:rFonts w:ascii="Aptos" w:hAnsi="Aptos"/>
                <w:b/>
                <w:color w:val="182433"/>
                <w:sz w:val="16"/>
              </w:rPr>
              <w:t>maintain-current gap</w:t>
            </w:r>
          </w:p>
          <w:p>
            <w:pPr>
              <w:spacing w:after="0"/>
              <w:jc w:val="center"/>
            </w:pPr>
            <w:r>
              <w:rPr>
                <w:rFonts w:ascii="Aptos" w:hAnsi="Aptos"/>
                <w:color w:val="5E6B78"/>
                <w:sz w:val="14"/>
              </w:rPr>
              <w:t>3.32% of replacement value</w:t>
            </w:r>
          </w:p>
        </w:tc>
        <w:tc>
          <w:tcPr>
            <w:tcW w:type="dxa" w:w="3288"/>
            <w:shd w:fill="EFF5F9"/>
            <w:tcMar>
              <w:top w:w="130" w:type="dxa"/>
              <w:start w:w="120" w:type="dxa"/>
              <w:bottom w:w="120" w:type="dxa"/>
              <w:end w:w="120" w:type="dxa"/>
            </w:tcMar>
            <w:tcBorders>
              <w:top w:val="single" w:sz="8" w:color="A33A3A"/>
              <w:left w:val="single" w:sz="3" w:color="CBD6E0"/>
              <w:bottom w:val="single" w:sz="3" w:color="CBD6E0"/>
              <w:right w:val="single" w:sz="3" w:color="CBD6E0"/>
            </w:tcBorders>
          </w:tcPr>
          <w:p>
            <w:pPr>
              <w:jc w:val="center"/>
            </w:pPr>
            <w:r>
              <w:rPr>
                <w:rFonts w:ascii="Aptos Display" w:hAnsi="Aptos Display"/>
                <w:b/>
                <w:color w:val="A33A3A"/>
                <w:sz w:val="34"/>
              </w:rPr>
              <w:t>$1.378B</w:t>
            </w:r>
          </w:p>
          <w:p>
            <w:pPr>
              <w:spacing w:after="40"/>
              <w:jc w:val="center"/>
            </w:pPr>
            <w:r>
              <w:rPr>
                <w:rFonts w:ascii="Aptos" w:hAnsi="Aptos"/>
                <w:b/>
                <w:color w:val="182433"/>
                <w:sz w:val="16"/>
              </w:rPr>
              <w:t>proposed-level gap</w:t>
            </w:r>
          </w:p>
          <w:p>
            <w:pPr>
              <w:spacing w:after="0"/>
              <w:jc w:val="center"/>
            </w:pPr>
            <w:r>
              <w:rPr>
                <w:rFonts w:ascii="Aptos" w:hAnsi="Aptos"/>
                <w:color w:val="5E6B78"/>
                <w:sz w:val="14"/>
              </w:rPr>
              <w:t>4.84% of replacement value</w:t>
            </w:r>
          </w:p>
        </w:tc>
      </w:tr>
    </w:tbl>
    <w:p>
      <w:pPr>
        <w:spacing w:after="0"/>
      </w:pPr>
    </w:p>
    <w:p>
      <w:pPr>
        <w:spacing w:after="100"/>
      </w:pPr>
      <w:r>
        <w:t>Correction: $946.1 million is 66.3% above the 2019 cycle’s $568.8 million and 103.0% above the 2014 cycle’s $466.1 million. The gap is a modeled renewal need—not proof of current failure, and not evidence of misspending.</w:t>
      </w:r>
    </w:p>
    <w:p>
      <w:pPr>
        <w:spacing w:before="40" w:after="100"/>
      </w:pPr>
      <w:r>
        <w:rPr>
          <w:rFonts w:ascii="Aptos" w:hAnsi="Aptos"/>
          <w:b/>
          <w:color w:val="2166A5"/>
          <w:sz w:val="14"/>
        </w:rPr>
        <w:t xml:space="preserve">SOURCE LOCK  </w:t>
      </w:r>
      <w:r>
        <w:rPr>
          <w:rFonts w:ascii="Aptos" w:hAnsi="Aptos"/>
          <w:b/>
          <w:color w:val="182433"/>
          <w:sz w:val="14"/>
        </w:rPr>
        <w:t>S04</w:t>
      </w:r>
    </w:p>
    <w:p>
      <w:pPr>
        <w:pStyle w:val="Heading2"/>
      </w:pPr>
      <w:r>
        <w:t>4.2 Eight project and fund dossiers</w:t>
      </w:r>
    </w:p>
    <w:tbl>
      <w:tblPr>
        <w:tblW w:type="auto" w:w="0"/>
        <w:jc w:val="center"/>
        <w:tblLayout w:type="fixed"/>
        <w:tblLook w:firstColumn="1" w:firstRow="1" w:lastColumn="0" w:lastRow="0" w:noHBand="0" w:noVBand="1" w:val="04A0"/>
      </w:tblPr>
      <w:tblGrid>
        <w:gridCol w:w="1685"/>
        <w:gridCol w:w="1685"/>
        <w:gridCol w:w="1685"/>
        <w:gridCol w:w="1685"/>
        <w:gridCol w:w="1685"/>
        <w:gridCol w:w="1685"/>
      </w:tblGrid>
      <w:tr>
        <w:trPr>
          <w:tblHeader w:val="true"/>
        </w:trPr>
        <w:tc>
          <w:tcPr>
            <w:tcW w:type="dxa" w:w="1800"/>
            <w:shd w:fill="17365D"/>
            <w:tcMar>
              <w:top w:w="90" w:type="dxa"/>
              <w:start w:w="90" w:type="dxa"/>
              <w:bottom w:w="90" w:type="dxa"/>
              <w:end w:w="90" w:type="dxa"/>
            </w:tcMar>
          </w:tcPr>
          <w:p>
            <w:pPr>
              <w:spacing w:after="0"/>
            </w:pPr>
            <w:r>
              <w:rPr>
                <w:rFonts w:ascii="Aptos" w:hAnsi="Aptos"/>
                <w:b/>
                <w:color w:val="FFFFFF"/>
                <w:sz w:val="13"/>
              </w:rPr>
              <w:t>Dossier</w:t>
            </w:r>
          </w:p>
        </w:tc>
        <w:tc>
          <w:tcPr>
            <w:tcW w:type="dxa" w:w="1512"/>
            <w:shd w:fill="17365D"/>
            <w:tcMar>
              <w:top w:w="90" w:type="dxa"/>
              <w:start w:w="90" w:type="dxa"/>
              <w:bottom w:w="90" w:type="dxa"/>
              <w:end w:w="90" w:type="dxa"/>
            </w:tcMar>
          </w:tcPr>
          <w:p>
            <w:pPr>
              <w:spacing w:after="0"/>
            </w:pPr>
            <w:r>
              <w:rPr>
                <w:rFonts w:ascii="Aptos" w:hAnsi="Aptos"/>
                <w:b/>
                <w:color w:val="FFFFFF"/>
                <w:sz w:val="13"/>
              </w:rPr>
              <w:t>Authority / service</w:t>
            </w:r>
          </w:p>
        </w:tc>
        <w:tc>
          <w:tcPr>
            <w:tcW w:type="dxa" w:w="1656"/>
            <w:shd w:fill="17365D"/>
            <w:tcMar>
              <w:top w:w="90" w:type="dxa"/>
              <w:start w:w="90" w:type="dxa"/>
              <w:bottom w:w="90" w:type="dxa"/>
              <w:end w:w="90" w:type="dxa"/>
            </w:tcMar>
          </w:tcPr>
          <w:p>
            <w:pPr>
              <w:spacing w:after="0"/>
            </w:pPr>
            <w:r>
              <w:rPr>
                <w:rFonts w:ascii="Aptos" w:hAnsi="Aptos"/>
                <w:b/>
                <w:color w:val="FFFFFF"/>
                <w:sz w:val="13"/>
              </w:rPr>
              <w:t>Public amount</w:t>
            </w:r>
          </w:p>
        </w:tc>
        <w:tc>
          <w:tcPr>
            <w:tcW w:type="dxa" w:w="3240"/>
            <w:shd w:fill="17365D"/>
            <w:tcMar>
              <w:top w:w="90" w:type="dxa"/>
              <w:start w:w="90" w:type="dxa"/>
              <w:bottom w:w="90" w:type="dxa"/>
              <w:end w:w="90" w:type="dxa"/>
            </w:tcMar>
          </w:tcPr>
          <w:p>
            <w:pPr>
              <w:spacing w:after="0"/>
            </w:pPr>
            <w:r>
              <w:rPr>
                <w:rFonts w:ascii="Aptos" w:hAnsi="Aptos"/>
                <w:b/>
                <w:color w:val="FFFFFF"/>
                <w:sz w:val="13"/>
              </w:rPr>
              <w:t>What the record establishes</w:t>
            </w:r>
          </w:p>
        </w:tc>
        <w:tc>
          <w:tcPr>
            <w:tcW w:type="dxa" w:w="1800"/>
            <w:shd w:fill="17365D"/>
            <w:tcMar>
              <w:top w:w="90" w:type="dxa"/>
              <w:start w:w="90" w:type="dxa"/>
              <w:bottom w:w="90" w:type="dxa"/>
              <w:end w:w="90" w:type="dxa"/>
            </w:tcMar>
          </w:tcPr>
          <w:p>
            <w:pPr>
              <w:spacing w:after="0"/>
            </w:pPr>
            <w:r>
              <w:rPr>
                <w:rFonts w:ascii="Aptos" w:hAnsi="Aptos"/>
                <w:b/>
                <w:color w:val="FFFFFF"/>
                <w:sz w:val="13"/>
              </w:rPr>
              <w:t>Unresolved test</w:t>
            </w:r>
          </w:p>
        </w:tc>
        <w:tc>
          <w:tcPr>
            <w:tcW w:type="dxa" w:w="792"/>
            <w:shd w:fill="17365D"/>
            <w:tcMar>
              <w:top w:w="90" w:type="dxa"/>
              <w:start w:w="90" w:type="dxa"/>
              <w:bottom w:w="90" w:type="dxa"/>
              <w:end w:w="90" w:type="dxa"/>
            </w:tcMar>
          </w:tcPr>
          <w:p>
            <w:pPr>
              <w:spacing w:after="0"/>
            </w:pPr>
            <w:r>
              <w:rPr>
                <w:rFonts w:ascii="Aptos" w:hAnsi="Aptos"/>
                <w:b/>
                <w:color w:val="FFFFFF"/>
                <w:sz w:val="13"/>
              </w:rPr>
              <w:t>Route</w:t>
            </w:r>
          </w:p>
        </w:tc>
      </w:tr>
      <w:tr>
        <w:trPr>
          <w:cantSplit/>
        </w:trPr>
        <w:tc>
          <w:tcPr>
            <w:tcW w:type="dxa" w:w="180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1 · Highbury Facility rebuild</w:t>
            </w:r>
          </w:p>
        </w:tc>
        <w:tc>
          <w:tcPr>
            <w:tcW w:type="dxa" w:w="1512"/>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LTC / capital service improvement</w:t>
            </w:r>
          </w:p>
        </w:tc>
        <w:tc>
          <w:tcPr>
            <w:tcW w:type="dxa" w:w="1656"/>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City project book: $301.9M; LTC phase figures imply about $321.7M</w:t>
            </w:r>
          </w:p>
        </w:tc>
        <w:tc>
          <w:tcPr>
            <w:tcW w:type="dxa" w:w="324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Two public budget vintages do not reconcile. 2025 LTC report says $5.0M did not get underway and carried to 2026.</w:t>
            </w:r>
          </w:p>
        </w:tc>
        <w:tc>
          <w:tcPr>
            <w:tcW w:type="dxa" w:w="180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Budget-vintage and delivery reconciliation</w:t>
            </w:r>
          </w:p>
        </w:tc>
        <w:tc>
          <w:tcPr>
            <w:tcW w:type="dxa" w:w="792"/>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R1</w:t>
            </w:r>
          </w:p>
        </w:tc>
      </w:tr>
      <w:tr>
        <w:trPr>
          <w:cantSplit/>
        </w:trPr>
        <w:tc>
          <w:tcPr>
            <w:tcW w:type="dxa" w:w="180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2 · Roadmap to 3,000</w:t>
            </w:r>
          </w:p>
        </w:tc>
        <w:tc>
          <w:tcPr>
            <w:tcW w:type="dxa" w:w="1512"/>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Housing Services</w:t>
            </w:r>
          </w:p>
        </w:tc>
        <w:tc>
          <w:tcPr>
            <w:tcW w:type="dxa" w:w="1656"/>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Project book: $78.0M</w:t>
            </w:r>
          </w:p>
        </w:tc>
        <w:tc>
          <w:tcPr>
            <w:tcW w:type="dxa" w:w="324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2025 development report tracks 2,576 City-funded affordable units: 675 in progress, 1,360 in planning; stage for the balance is not stated in the summary.</w:t>
            </w:r>
          </w:p>
        </w:tc>
        <w:tc>
          <w:tcPr>
            <w:tcW w:type="dxa" w:w="180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Cost per completed/occupied affordable unit</w:t>
            </w:r>
          </w:p>
        </w:tc>
        <w:tc>
          <w:tcPr>
            <w:tcW w:type="dxa" w:w="792"/>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R4</w:t>
            </w:r>
          </w:p>
        </w:tc>
      </w:tr>
      <w:tr>
        <w:trPr>
          <w:cantSplit/>
        </w:trPr>
        <w:tc>
          <w:tcPr>
            <w:tcW w:type="dxa" w:w="180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3 · Fanshawe campus grant</w:t>
            </w:r>
          </w:p>
        </w:tc>
        <w:tc>
          <w:tcPr>
            <w:tcW w:type="dxa" w:w="1512"/>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Economic development</w:t>
            </w:r>
          </w:p>
        </w:tc>
        <w:tc>
          <w:tcPr>
            <w:tcW w:type="dxa" w:w="1656"/>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Project GG1721-6: $20.75M</w:t>
            </w:r>
          </w:p>
        </w:tc>
        <w:tc>
          <w:tcPr>
            <w:tcW w:type="dxa" w:w="324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Named in the service-improvement capital book; end-to-end grant payment and outcome closeout not reproduced.</w:t>
            </w:r>
          </w:p>
        </w:tc>
        <w:tc>
          <w:tcPr>
            <w:tcW w:type="dxa" w:w="180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Agreement, payments, milestones, closeout</w:t>
            </w:r>
          </w:p>
        </w:tc>
        <w:tc>
          <w:tcPr>
            <w:tcW w:type="dxa" w:w="792"/>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R1/R6</w:t>
            </w:r>
          </w:p>
        </w:tc>
      </w:tr>
      <w:tr>
        <w:trPr>
          <w:cantSplit/>
        </w:trPr>
        <w:tc>
          <w:tcPr>
            <w:tcW w:type="dxa" w:w="180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4 · Mud Creek Phase 2B</w:t>
            </w:r>
          </w:p>
        </w:tc>
        <w:tc>
          <w:tcPr>
            <w:tcW w:type="dxa" w:w="1512"/>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Stormwater</w:t>
            </w:r>
          </w:p>
        </w:tc>
        <w:tc>
          <w:tcPr>
            <w:tcW w:type="dxa" w:w="1656"/>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Total budget $24.720M; 2025 financing/spend lines reproduced</w:t>
            </w:r>
          </w:p>
        </w:tc>
        <w:tc>
          <w:tcPr>
            <w:tcW w:type="dxa" w:w="324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EA approved 2017; site work began 2025; construction continues into 2026. Award, change orders and physical completion not joined publicly.</w:t>
            </w:r>
          </w:p>
        </w:tc>
        <w:tc>
          <w:tcPr>
            <w:tcW w:type="dxa" w:w="180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Award, amendments, FAC, percent complete</w:t>
            </w:r>
          </w:p>
        </w:tc>
        <w:tc>
          <w:tcPr>
            <w:tcW w:type="dxa" w:w="792"/>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R1/R2</w:t>
            </w:r>
          </w:p>
        </w:tc>
      </w:tr>
      <w:tr>
        <w:trPr>
          <w:cantSplit/>
        </w:trPr>
        <w:tc>
          <w:tcPr>
            <w:tcW w:type="dxa" w:w="180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5 · Springbank Dam</w:t>
            </w:r>
          </w:p>
        </w:tc>
        <w:tc>
          <w:tcPr>
            <w:tcW w:type="dxa" w:w="1512"/>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Environment / river project</w:t>
            </w:r>
          </w:p>
        </w:tc>
        <w:tc>
          <w:tcPr>
            <w:tcW w:type="dxa" w:w="1656"/>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Stage 1 estimate $14.6M; decommissioning budget up to $3M</w:t>
            </w:r>
          </w:p>
        </w:tc>
        <w:tc>
          <w:tcPr>
            <w:tcW w:type="dxa" w:w="324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Public record explains estimate changes, but final decommissioning cost and closeout were not located.</w:t>
            </w:r>
          </w:p>
        </w:tc>
        <w:tc>
          <w:tcPr>
            <w:tcW w:type="dxa" w:w="180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Final cost and closeout certificate</w:t>
            </w:r>
          </w:p>
        </w:tc>
        <w:tc>
          <w:tcPr>
            <w:tcW w:type="dxa" w:w="792"/>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R1</w:t>
            </w:r>
          </w:p>
        </w:tc>
      </w:tr>
      <w:tr>
        <w:trPr>
          <w:cantSplit/>
        </w:trPr>
        <w:tc>
          <w:tcPr>
            <w:tcW w:type="dxa" w:w="180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6 · Wharncliffe/Horton</w:t>
            </w:r>
          </w:p>
        </w:tc>
        <w:tc>
          <w:tcPr>
            <w:tcW w:type="dxa" w:w="1512"/>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Transportation</w:t>
            </w:r>
          </w:p>
        </w:tc>
        <w:tc>
          <w:tcPr>
            <w:tcW w:type="dxa" w:w="1656"/>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$90M estimate; $39.6M funding gap reported Jan. 2026</w:t>
            </w:r>
          </w:p>
        </w:tc>
        <w:tc>
          <w:tcPr>
            <w:tcW w:type="dxa" w:w="324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Unfunded at construction scale; no procurement expected yet. A smaller Wharncliffe line in the DC report is not the same project.</w:t>
            </w:r>
          </w:p>
        </w:tc>
        <w:tc>
          <w:tcPr>
            <w:tcW w:type="dxa" w:w="180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Updated estimate, financing plan, schedule</w:t>
            </w:r>
          </w:p>
        </w:tc>
        <w:tc>
          <w:tcPr>
            <w:tcW w:type="dxa" w:w="792"/>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R1</w:t>
            </w:r>
          </w:p>
        </w:tc>
      </w:tr>
      <w:tr>
        <w:trPr>
          <w:cantSplit/>
        </w:trPr>
        <w:tc>
          <w:tcPr>
            <w:tcW w:type="dxa" w:w="180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7 · Operating contingency reserve</w:t>
            </w:r>
          </w:p>
        </w:tc>
        <w:tc>
          <w:tcPr>
            <w:tcW w:type="dxa" w:w="1512"/>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Corporate finance</w:t>
            </w:r>
          </w:p>
        </w:tc>
        <w:tc>
          <w:tcPr>
            <w:tcW w:type="dxa" w:w="1656"/>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2018 balance $35.18M vs $96.59M policy target; 2024 audited contingency line $109.8M</w:t>
            </w:r>
          </w:p>
        </w:tc>
        <w:tc>
          <w:tcPr>
            <w:tcW w:type="dxa" w:w="324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Two accounting presentations are not proven to be the identical fund. Reconciliation is required before claiming recovery.</w:t>
            </w:r>
          </w:p>
        </w:tc>
        <w:tc>
          <w:tcPr>
            <w:tcW w:type="dxa" w:w="180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Fund mapping and policy-target calculation</w:t>
            </w:r>
          </w:p>
        </w:tc>
        <w:tc>
          <w:tcPr>
            <w:tcW w:type="dxa" w:w="792"/>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R6</w:t>
            </w:r>
          </w:p>
        </w:tc>
      </w:tr>
      <w:tr>
        <w:trPr>
          <w:cantSplit/>
        </w:trPr>
        <w:tc>
          <w:tcPr>
            <w:tcW w:type="dxa" w:w="180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8 · Highway 401 / Highway 4</w:t>
            </w:r>
          </w:p>
        </w:tc>
        <w:tc>
          <w:tcPr>
            <w:tcW w:type="dxa" w:w="1512"/>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Provincial transportation</w:t>
            </w:r>
          </w:p>
        </w:tc>
        <w:tc>
          <w:tcPr>
            <w:tcW w:type="dxa" w:w="1656"/>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No City capital cost established</w:t>
            </w:r>
          </w:p>
        </w:tc>
        <w:tc>
          <w:tcPr>
            <w:tcW w:type="dxa" w:w="324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MTO project; City endorsed municipal road closures. This lead is not a City-spending finding as framed.</w:t>
            </w:r>
          </w:p>
        </w:tc>
        <w:tc>
          <w:tcPr>
            <w:tcW w:type="dxa" w:w="180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None unless a different 401-adjacent project is specified</w:t>
            </w:r>
          </w:p>
        </w:tc>
        <w:tc>
          <w:tcPr>
            <w:tcW w:type="dxa" w:w="792"/>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Closed</w:t>
            </w:r>
          </w:p>
        </w:tc>
      </w:tr>
    </w:tbl>
    <w:p>
      <w:pPr>
        <w:spacing w:after="0"/>
      </w:pPr>
    </w:p>
    <w:tbl>
      <w:tblPr>
        <w:tblW w:type="auto" w:w="0"/>
        <w:jc w:val="center"/>
        <w:tblLayout w:type="fixed"/>
        <w:tblLook w:firstColumn="1" w:firstRow="1" w:lastColumn="0" w:lastRow="0" w:noHBand="0" w:noVBand="1" w:val="04A0"/>
      </w:tblPr>
      <w:tblGrid>
        <w:gridCol w:w="115"/>
        <w:gridCol w:w="9648"/>
      </w:tblGrid>
      <w:tr>
        <w:tc>
          <w:tcPr>
            <w:tcW w:type="dxa" w:w="5054"/>
            <w:shd w:fill="2166A5"/>
            <w:tcMar>
              <w:top w:w="0" w:type="dxa"/>
              <w:start w:w="0" w:type="dxa"/>
              <w:bottom w:w="0" w:type="dxa"/>
              <w:end w:w="0" w:type="dxa"/>
            </w:tcMar>
          </w:tcPr>
          <w:p/>
        </w:tc>
        <w:tc>
          <w:tcPr>
            <w:tcW w:type="dxa" w:w="5054"/>
            <w:shd w:fill="EFF5F9"/>
            <w:tcMar>
              <w:top w:w="130" w:type="dxa"/>
              <w:start w:w="160" w:type="dxa"/>
              <w:bottom w:w="130" w:type="dxa"/>
              <w:end w:w="160" w:type="dxa"/>
            </w:tcMar>
            <w:tcBorders>
              <w:top w:val="single" w:sz="4" w:color="CBD6E0"/>
              <w:bottom w:val="single" w:sz="4" w:color="CBD6E0"/>
              <w:right w:val="single" w:sz="4" w:color="CBD6E0"/>
            </w:tcBorders>
          </w:tcPr>
          <w:p>
            <w:pPr>
              <w:spacing w:after="60"/>
            </w:pPr>
            <w:r>
              <w:rPr>
                <w:rFonts w:ascii="Aptos" w:hAnsi="Aptos"/>
                <w:b/>
                <w:color w:val="2166A5"/>
                <w:sz w:val="18"/>
              </w:rPr>
              <w:t>Capital conclusion</w:t>
            </w:r>
          </w:p>
          <w:p>
            <w:pPr>
              <w:spacing w:after="0" w:line="252" w:lineRule="auto"/>
            </w:pPr>
            <w:r>
              <w:t>The named files show a recurring reconciliation gap—not a recurring overrun finding. Public sources often contain a budget, a status update or a financing line, but not a stable project ID tying all three to the award, amendments, forecast-at-completion and closeout.</w:t>
            </w:r>
          </w:p>
        </w:tc>
      </w:tr>
    </w:tbl>
    <w:p>
      <w:pPr>
        <w:spacing w:after="0"/>
      </w:pPr>
    </w:p>
    <w:p>
      <w:pPr>
        <w:spacing w:before="40" w:after="100"/>
      </w:pPr>
      <w:r>
        <w:rPr>
          <w:rFonts w:ascii="Aptos" w:hAnsi="Aptos"/>
          <w:b/>
          <w:color w:val="2166A5"/>
          <w:sz w:val="14"/>
        </w:rPr>
        <w:t xml:space="preserve">SOURCE LOCK  </w:t>
      </w:r>
      <w:r>
        <w:rPr>
          <w:rFonts w:ascii="Aptos" w:hAnsi="Aptos"/>
          <w:b/>
          <w:color w:val="182433"/>
          <w:sz w:val="14"/>
        </w:rPr>
        <w:t>S01, S02, S09, S10, S25–S27</w:t>
      </w:r>
    </w:p>
    <w:p>
      <w:pPr>
        <w:pageBreakBefore/>
        <w:spacing w:after="60"/>
      </w:pPr>
      <w:r>
        <w:rPr>
          <w:rFonts w:ascii="Aptos" w:hAnsi="Aptos"/>
          <w:b/>
          <w:color w:val="2166A5"/>
          <w:sz w:val="16"/>
        </w:rPr>
        <w:t>PART 5</w:t>
      </w:r>
    </w:p>
    <w:p>
      <w:pPr>
        <w:pStyle w:val="Heading1"/>
      </w:pPr>
      <w:r>
        <w:t>Procurement compliance screen</w:t>
      </w:r>
    </w:p>
    <w:p>
      <w:pPr>
        <w:pStyle w:val="Heading2"/>
      </w:pPr>
      <w:r>
        <w:t>5.1 Posted-award disclosure</w:t>
      </w:r>
    </w:p>
    <w:p>
      <w:pPr>
        <w:spacing w:after="60"/>
        <w:jc w:val="center"/>
      </w:pPr>
      <w:r>
        <w:drawing>
          <wp:inline xmlns:a="http://schemas.openxmlformats.org/drawingml/2006/main" xmlns:pic="http://schemas.openxmlformats.org/drawingml/2006/picture">
            <wp:extent cx="6126480" cy="3890269"/>
            <wp:docPr id="5" name="Picture 5" descr="Donut chart showing that 1,394 of 1,978 posted award records, or 70.5 percent, had no visible dollar value." title="Figure 5"/>
            <wp:cNvGraphicFramePr>
              <a:graphicFrameLocks noChangeAspect="1"/>
            </wp:cNvGraphicFramePr>
            <a:graphic>
              <a:graphicData uri="http://schemas.openxmlformats.org/drawingml/2006/picture">
                <pic:pic>
                  <pic:nvPicPr>
                    <pic:cNvPr id="0" name="procurement_disclosure.png"/>
                    <pic:cNvPicPr/>
                  </pic:nvPicPr>
                  <pic:blipFill>
                    <a:blip r:embed="rId13"/>
                    <a:stretch>
                      <a:fillRect/>
                    </a:stretch>
                  </pic:blipFill>
                  <pic:spPr>
                    <a:xfrm>
                      <a:off x="0" y="0"/>
                      <a:ext cx="6126480" cy="3890269"/>
                    </a:xfrm>
                    <a:prstGeom prst="rect"/>
                  </pic:spPr>
                </pic:pic>
              </a:graphicData>
            </a:graphic>
          </wp:inline>
        </w:drawing>
      </w:r>
    </w:p>
    <w:p>
      <w:pPr>
        <w:pStyle w:val="Caption"/>
        <w:spacing w:after="140"/>
        <w:jc w:val="center"/>
      </w:pPr>
      <w:r>
        <w:t>Figure 5. Posted-record visibility; not total procurement spend. Source: S05.</w:t>
      </w:r>
    </w:p>
    <w:tbl>
      <w:tblPr>
        <w:tblW w:type="auto" w:w="0"/>
        <w:jc w:val="center"/>
        <w:tblLayout w:type="fixed"/>
        <w:tblLook w:firstColumn="1" w:firstRow="1" w:lastColumn="0" w:lastRow="0" w:noHBand="0" w:noVBand="1" w:val="04A0"/>
      </w:tblPr>
      <w:tblGrid>
        <w:gridCol w:w="3369"/>
        <w:gridCol w:w="3369"/>
        <w:gridCol w:w="3369"/>
      </w:tblGrid>
      <w:tr>
        <w:tc>
          <w:tcPr>
            <w:tcW w:type="dxa" w:w="3288"/>
            <w:shd w:fill="EFF5F9"/>
            <w:tcMar>
              <w:top w:w="130" w:type="dxa"/>
              <w:start w:w="120" w:type="dxa"/>
              <w:bottom w:w="120" w:type="dxa"/>
              <w:end w:w="120" w:type="dxa"/>
            </w:tcMar>
            <w:tcBorders>
              <w:top w:val="single" w:sz="8" w:color="17365D"/>
              <w:left w:val="single" w:sz="3" w:color="CBD6E0"/>
              <w:bottom w:val="single" w:sz="3" w:color="CBD6E0"/>
              <w:right w:val="single" w:sz="3" w:color="CBD6E0"/>
            </w:tcBorders>
          </w:tcPr>
          <w:p>
            <w:pPr>
              <w:jc w:val="center"/>
            </w:pPr>
            <w:r>
              <w:rPr>
                <w:rFonts w:ascii="Aptos Display" w:hAnsi="Aptos Display"/>
                <w:b/>
                <w:color w:val="17365D"/>
                <w:sz w:val="34"/>
              </w:rPr>
              <w:t>$1.022B</w:t>
            </w:r>
          </w:p>
          <w:p>
            <w:pPr>
              <w:spacing w:after="40"/>
              <w:jc w:val="center"/>
            </w:pPr>
            <w:r>
              <w:rPr>
                <w:rFonts w:ascii="Aptos" w:hAnsi="Aptos"/>
                <w:b/>
                <w:color w:val="182433"/>
                <w:sz w:val="16"/>
              </w:rPr>
              <w:t>known-value total</w:t>
            </w:r>
          </w:p>
          <w:p>
            <w:pPr>
              <w:spacing w:after="0"/>
              <w:jc w:val="center"/>
            </w:pPr>
            <w:r>
              <w:rPr>
                <w:rFonts w:ascii="Aptos" w:hAnsi="Aptos"/>
                <w:color w:val="5E6B78"/>
                <w:sz w:val="14"/>
              </w:rPr>
              <w:t>584 records only</w:t>
            </w:r>
          </w:p>
        </w:tc>
        <w:tc>
          <w:tcPr>
            <w:tcW w:type="dxa" w:w="3288"/>
            <w:shd w:fill="EFF5F9"/>
            <w:tcMar>
              <w:top w:w="130" w:type="dxa"/>
              <w:start w:w="120" w:type="dxa"/>
              <w:bottom w:w="120" w:type="dxa"/>
              <w:end w:w="120" w:type="dxa"/>
            </w:tcMar>
            <w:tcBorders>
              <w:top w:val="single" w:sz="8" w:color="B36A00"/>
              <w:left w:val="single" w:sz="3" w:color="CBD6E0"/>
              <w:bottom w:val="single" w:sz="3" w:color="CBD6E0"/>
              <w:right w:val="single" w:sz="3" w:color="CBD6E0"/>
            </w:tcBorders>
          </w:tcPr>
          <w:p>
            <w:pPr>
              <w:jc w:val="center"/>
            </w:pPr>
            <w:r>
              <w:rPr>
                <w:rFonts w:ascii="Aptos Display" w:hAnsi="Aptos Display"/>
                <w:b/>
                <w:color w:val="B36A00"/>
                <w:sz w:val="34"/>
              </w:rPr>
              <w:t>71.6%</w:t>
            </w:r>
          </w:p>
          <w:p>
            <w:pPr>
              <w:spacing w:after="40"/>
              <w:jc w:val="center"/>
            </w:pPr>
            <w:r>
              <w:rPr>
                <w:rFonts w:ascii="Aptos" w:hAnsi="Aptos"/>
                <w:b/>
                <w:color w:val="182433"/>
                <w:sz w:val="16"/>
              </w:rPr>
              <w:t>top-10 share</w:t>
            </w:r>
          </w:p>
          <w:p>
            <w:pPr>
              <w:spacing w:after="0"/>
              <w:jc w:val="center"/>
            </w:pPr>
            <w:r>
              <w:rPr>
                <w:rFonts w:ascii="Aptos" w:hAnsi="Aptos"/>
                <w:color w:val="5E6B78"/>
                <w:sz w:val="14"/>
              </w:rPr>
              <w:t>Of known-value awards</w:t>
            </w:r>
          </w:p>
        </w:tc>
        <w:tc>
          <w:tcPr>
            <w:tcW w:type="dxa" w:w="3288"/>
            <w:shd w:fill="EFF5F9"/>
            <w:tcMar>
              <w:top w:w="130" w:type="dxa"/>
              <w:start w:w="120" w:type="dxa"/>
              <w:bottom w:w="120" w:type="dxa"/>
              <w:end w:w="120" w:type="dxa"/>
            </w:tcMar>
            <w:tcBorders>
              <w:top w:val="single" w:sz="8" w:color="2166A5"/>
              <w:left w:val="single" w:sz="3" w:color="CBD6E0"/>
              <w:bottom w:val="single" w:sz="3" w:color="CBD6E0"/>
              <w:right w:val="single" w:sz="3" w:color="CBD6E0"/>
            </w:tcBorders>
          </w:tcPr>
          <w:p>
            <w:pPr>
              <w:jc w:val="center"/>
            </w:pPr>
            <w:r>
              <w:rPr>
                <w:rFonts w:ascii="Aptos Display" w:hAnsi="Aptos Display"/>
                <w:b/>
                <w:color w:val="2166A5"/>
                <w:sz w:val="34"/>
              </w:rPr>
              <w:t>94.3%</w:t>
            </w:r>
          </w:p>
          <w:p>
            <w:pPr>
              <w:spacing w:after="40"/>
              <w:jc w:val="center"/>
            </w:pPr>
            <w:r>
              <w:rPr>
                <w:rFonts w:ascii="Aptos" w:hAnsi="Aptos"/>
                <w:b/>
                <w:color w:val="182433"/>
                <w:sz w:val="16"/>
              </w:rPr>
              <w:t>construction share</w:t>
            </w:r>
          </w:p>
          <w:p>
            <w:pPr>
              <w:spacing w:after="0"/>
              <w:jc w:val="center"/>
            </w:pPr>
            <w:r>
              <w:rPr>
                <w:rFonts w:ascii="Aptos" w:hAnsi="Aptos"/>
                <w:color w:val="5E6B78"/>
                <w:sz w:val="14"/>
              </w:rPr>
              <w:t>Of known-value dollars</w:t>
            </w:r>
          </w:p>
        </w:tc>
      </w:tr>
    </w:tbl>
    <w:p>
      <w:pPr>
        <w:spacing w:after="0"/>
      </w:pPr>
    </w:p>
    <w:p>
      <w:pPr>
        <w:spacing w:after="100"/>
      </w:pPr>
      <w:r>
        <w:t>The denominator is incomplete by design: 70.5% of parsed award records show no visible dollar value. The $1.022 billion known-value pool therefore cannot stand in for total City procurement. A descriptive HHI of 949 overall and 1,065 within construction is retained only as a sensitivity statistic for that disclosed slice; it is not an antitrust market definition or a finding of weak competition.</w:t>
      </w:r>
    </w:p>
    <w:p>
      <w:pPr>
        <w:spacing w:before="40" w:after="100"/>
      </w:pPr>
      <w:r>
        <w:rPr>
          <w:rFonts w:ascii="Aptos" w:hAnsi="Aptos"/>
          <w:b/>
          <w:color w:val="2166A5"/>
          <w:sz w:val="14"/>
        </w:rPr>
        <w:t xml:space="preserve">SOURCE LOCK  </w:t>
      </w:r>
      <w:r>
        <w:rPr>
          <w:rFonts w:ascii="Aptos" w:hAnsi="Aptos"/>
          <w:b/>
          <w:color w:val="182433"/>
          <w:sz w:val="14"/>
        </w:rPr>
        <w:t>S05</w:t>
      </w:r>
      <w:r>
        <w:rPr>
          <w:rFonts w:ascii="Aptos" w:hAnsi="Aptos"/>
          <w:color w:val="5E6B78"/>
          <w:sz w:val="14"/>
        </w:rPr>
        <w:t xml:space="preserve">  ·  1,978 records; 1,073 high-confidence and 905 medium-confidence parser results.</w:t>
      </w:r>
    </w:p>
    <w:p>
      <w:pPr>
        <w:pStyle w:val="SmallNote"/>
      </w:pPr>
      <w:r>
        <w:t>REPRODUCIBILITY BOUNDARY  The posted portal is the primary source, but the 1,978-row parser export and normalization workbook are not included in this publication package. Claims C010–C013 therefore remain derived / limited and should not be treated as independently replayed until the raw extract is released.</w:t>
      </w:r>
    </w:p>
    <w:p>
      <w:pPr>
        <w:pStyle w:val="Heading2"/>
      </w:pPr>
      <w:r>
        <w:t>5.2 Policy-versioned tests</w:t>
      </w:r>
    </w:p>
    <w:tbl>
      <w:tblPr>
        <w:tblW w:type="auto" w:w="0"/>
        <w:jc w:val="center"/>
        <w:tblLayout w:type="fixed"/>
        <w:tblLook w:firstColumn="1" w:firstRow="1" w:lastColumn="0" w:lastRow="0" w:noHBand="0" w:noVBand="1" w:val="04A0"/>
      </w:tblPr>
      <w:tblGrid>
        <w:gridCol w:w="2527"/>
        <w:gridCol w:w="2527"/>
        <w:gridCol w:w="2527"/>
        <w:gridCol w:w="2527"/>
      </w:tblGrid>
      <w:tr>
        <w:trPr>
          <w:tblHeader w:val="true"/>
        </w:trPr>
        <w:tc>
          <w:tcPr>
            <w:tcW w:type="dxa" w:w="1728"/>
            <w:shd w:fill="17365D"/>
            <w:tcMar>
              <w:top w:w="90" w:type="dxa"/>
              <w:start w:w="90" w:type="dxa"/>
              <w:bottom w:w="90" w:type="dxa"/>
              <w:end w:w="90" w:type="dxa"/>
            </w:tcMar>
          </w:tcPr>
          <w:p>
            <w:pPr>
              <w:spacing w:after="0"/>
            </w:pPr>
            <w:r>
              <w:rPr>
                <w:rFonts w:ascii="Aptos" w:hAnsi="Aptos"/>
                <w:b/>
                <w:color w:val="FFFFFF"/>
                <w:sz w:val="14"/>
              </w:rPr>
              <w:t>Test</w:t>
            </w:r>
          </w:p>
        </w:tc>
        <w:tc>
          <w:tcPr>
            <w:tcW w:type="dxa" w:w="3384"/>
            <w:shd w:fill="17365D"/>
            <w:tcMar>
              <w:top w:w="90" w:type="dxa"/>
              <w:start w:w="90" w:type="dxa"/>
              <w:bottom w:w="90" w:type="dxa"/>
              <w:end w:w="90" w:type="dxa"/>
            </w:tcMar>
          </w:tcPr>
          <w:p>
            <w:pPr>
              <w:spacing w:after="0"/>
            </w:pPr>
            <w:r>
              <w:rPr>
                <w:rFonts w:ascii="Aptos" w:hAnsi="Aptos"/>
                <w:b/>
                <w:color w:val="FFFFFF"/>
                <w:sz w:val="14"/>
              </w:rPr>
              <w:t>Criterion</w:t>
            </w:r>
          </w:p>
        </w:tc>
        <w:tc>
          <w:tcPr>
            <w:tcW w:type="dxa" w:w="3888"/>
            <w:shd w:fill="17365D"/>
            <w:tcMar>
              <w:top w:w="90" w:type="dxa"/>
              <w:start w:w="90" w:type="dxa"/>
              <w:bottom w:w="90" w:type="dxa"/>
              <w:end w:w="90" w:type="dxa"/>
            </w:tcMar>
          </w:tcPr>
          <w:p>
            <w:pPr>
              <w:spacing w:after="0"/>
            </w:pPr>
            <w:r>
              <w:rPr>
                <w:rFonts w:ascii="Aptos" w:hAnsi="Aptos"/>
                <w:b/>
                <w:color w:val="FFFFFF"/>
                <w:sz w:val="14"/>
              </w:rPr>
              <w:t>Result</w:t>
            </w:r>
          </w:p>
        </w:tc>
        <w:tc>
          <w:tcPr>
            <w:tcW w:type="dxa" w:w="936"/>
            <w:shd w:fill="17365D"/>
            <w:tcMar>
              <w:top w:w="90" w:type="dxa"/>
              <w:start w:w="90" w:type="dxa"/>
              <w:bottom w:w="90" w:type="dxa"/>
              <w:end w:w="90" w:type="dxa"/>
            </w:tcMar>
          </w:tcPr>
          <w:p>
            <w:pPr>
              <w:spacing w:after="0"/>
            </w:pPr>
            <w:r>
              <w:rPr>
                <w:rFonts w:ascii="Aptos" w:hAnsi="Aptos"/>
                <w:b/>
                <w:color w:val="FFFFFF"/>
                <w:sz w:val="14"/>
              </w:rPr>
              <w:t>Evidence / route</w:t>
            </w:r>
          </w:p>
        </w:tc>
      </w:tr>
      <w:tr>
        <w:trPr>
          <w:cantSplit/>
        </w:trPr>
        <w:tc>
          <w:tcPr>
            <w:tcW w:type="dxa" w:w="1728"/>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Policy in force</w:t>
            </w:r>
          </w:p>
        </w:tc>
        <w:tc>
          <w:tcPr>
            <w:tcW w:type="dxa" w:w="3384"/>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Awards before Oct. 1, 2025 use legacy policy; later actions use current policy.</w:t>
            </w:r>
          </w:p>
        </w:tc>
        <w:tc>
          <w:tcPr>
            <w:tcW w:type="dxa" w:w="3888"/>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PASS — version boundary identified.</w:t>
            </w:r>
          </w:p>
        </w:tc>
        <w:tc>
          <w:tcPr>
            <w:tcW w:type="dxa" w:w="936"/>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S06, S07</w:t>
            </w:r>
          </w:p>
        </w:tc>
      </w:tr>
      <w:tr>
        <w:trPr>
          <w:cantSplit/>
        </w:trPr>
        <w:tc>
          <w:tcPr>
            <w:tcW w:type="dxa" w:w="1728"/>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Annual compliance review</w:t>
            </w:r>
          </w:p>
        </w:tc>
        <w:tc>
          <w:tcPr>
            <w:tcW w:type="dxa" w:w="3384"/>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Current policy requires an Annual Procurement Compliance Review.</w:t>
            </w:r>
          </w:p>
        </w:tc>
        <w:tc>
          <w:tcPr>
            <w:tcW w:type="dxa" w:w="3888"/>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PASS — 2025 review received Apr. 20, 2026.</w:t>
            </w:r>
          </w:p>
        </w:tc>
        <w:tc>
          <w:tcPr>
            <w:tcW w:type="dxa" w:w="936"/>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S07</w:t>
            </w:r>
          </w:p>
        </w:tc>
      </w:tr>
      <w:tr>
        <w:trPr>
          <w:cantSplit/>
        </w:trPr>
        <w:tc>
          <w:tcPr>
            <w:tcW w:type="dxa" w:w="1728"/>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Biannual award reporting</w:t>
            </w:r>
          </w:p>
        </w:tc>
        <w:tc>
          <w:tcPr>
            <w:tcW w:type="dxa" w:w="3384"/>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Awards over $133,800 goods/services and $334,000 construction are disclosed.</w:t>
            </w:r>
          </w:p>
        </w:tc>
        <w:tc>
          <w:tcPr>
            <w:tcW w:type="dxa" w:w="3888"/>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PASS — May 27, 2026 report located.</w:t>
            </w:r>
          </w:p>
        </w:tc>
        <w:tc>
          <w:tcPr>
            <w:tcW w:type="dxa" w:w="936"/>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S08</w:t>
            </w:r>
          </w:p>
        </w:tc>
      </w:tr>
      <w:tr>
        <w:trPr>
          <w:cantSplit/>
        </w:trPr>
        <w:tc>
          <w:tcPr>
            <w:tcW w:type="dxa" w:w="1728"/>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Limited tendering</w:t>
            </w:r>
          </w:p>
        </w:tc>
        <w:tc>
          <w:tcPr>
            <w:tcW w:type="dxa" w:w="3384"/>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Authority and exception must be supported under the applicable section.</w:t>
            </w:r>
          </w:p>
        </w:tc>
        <w:tc>
          <w:tcPr>
            <w:tcW w:type="dxa" w:w="3888"/>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PARTIAL — Council reports identify authority; portal export lacks a complete row-level flag.</w:t>
            </w:r>
          </w:p>
        </w:tc>
        <w:tc>
          <w:tcPr>
            <w:tcW w:type="dxa" w:w="936"/>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R2</w:t>
            </w:r>
          </w:p>
        </w:tc>
      </w:tr>
      <w:tr>
        <w:trPr>
          <w:cantSplit/>
        </w:trPr>
        <w:tc>
          <w:tcPr>
            <w:tcW w:type="dxa" w:w="1728"/>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Contract amendments</w:t>
            </w:r>
          </w:p>
        </w:tc>
        <w:tc>
          <w:tcPr>
            <w:tcW w:type="dxa" w:w="3384"/>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Applicable approval limit, financing and Council trigger must be tested.</w:t>
            </w:r>
          </w:p>
        </w:tc>
        <w:tc>
          <w:tcPr>
            <w:tcW w:type="dxa" w:w="3888"/>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NOT TESTABLE PUBLICLY — no joined amendment history across awards.</w:t>
            </w:r>
          </w:p>
        </w:tc>
        <w:tc>
          <w:tcPr>
            <w:tcW w:type="dxa" w:w="936"/>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R2</w:t>
            </w:r>
          </w:p>
        </w:tc>
      </w:tr>
      <w:tr>
        <w:trPr>
          <w:cantSplit/>
        </w:trPr>
        <w:tc>
          <w:tcPr>
            <w:tcW w:type="dxa" w:w="1728"/>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Bid spread / disqualification</w:t>
            </w:r>
          </w:p>
        </w:tc>
        <w:tc>
          <w:tcPr>
            <w:tcW w:type="dxa" w:w="3384"/>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Requires bid tabulations and evaluation records.</w:t>
            </w:r>
          </w:p>
        </w:tc>
        <w:tc>
          <w:tcPr>
            <w:tcW w:type="dxa" w:w="3888"/>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NOT TESTABLE PUBLICLY — award notices are insufficient.</w:t>
            </w:r>
          </w:p>
        </w:tc>
        <w:tc>
          <w:tcPr>
            <w:tcW w:type="dxa" w:w="936"/>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R2</w:t>
            </w:r>
          </w:p>
        </w:tc>
      </w:tr>
      <w:tr>
        <w:trPr>
          <w:cantSplit/>
        </w:trPr>
        <w:tc>
          <w:tcPr>
            <w:tcW w:type="dxa" w:w="1728"/>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Vendor performance</w:t>
            </w:r>
          </w:p>
        </w:tc>
        <w:tc>
          <w:tcPr>
            <w:tcW w:type="dxa" w:w="3384"/>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Requires performance/termination/extension records.</w:t>
            </w:r>
          </w:p>
        </w:tc>
        <w:tc>
          <w:tcPr>
            <w:tcW w:type="dxa" w:w="3888"/>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NOT TESTABLE PUBLICLY — request supplied.</w:t>
            </w:r>
          </w:p>
        </w:tc>
        <w:tc>
          <w:tcPr>
            <w:tcW w:type="dxa" w:w="936"/>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R2</w:t>
            </w:r>
          </w:p>
        </w:tc>
      </w:tr>
      <w:tr>
        <w:trPr>
          <w:cantSplit/>
        </w:trPr>
        <w:tc>
          <w:tcPr>
            <w:tcW w:type="dxa" w:w="1728"/>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Award-value publication</w:t>
            </w:r>
          </w:p>
        </w:tc>
        <w:tc>
          <w:tcPr>
            <w:tcW w:type="dxa" w:w="3384"/>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Public accountability test, not necessarily policy breach.</w:t>
            </w:r>
          </w:p>
        </w:tc>
        <w:tc>
          <w:tcPr>
            <w:tcW w:type="dxa" w:w="3888"/>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FAIL AS DISCLOSURE DESIGN — 70.5% no visible value in scraped set.</w:t>
            </w:r>
          </w:p>
        </w:tc>
        <w:tc>
          <w:tcPr>
            <w:tcW w:type="dxa" w:w="936"/>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S05</w:t>
            </w:r>
          </w:p>
        </w:tc>
      </w:tr>
    </w:tbl>
    <w:p>
      <w:pPr>
        <w:spacing w:after="0"/>
      </w:pPr>
    </w:p>
    <w:p>
      <w:pPr>
        <w:pStyle w:val="Heading2"/>
      </w:pPr>
      <w:r>
        <w:t>5.3 Reproducible transaction test once records arrive</w:t>
      </w:r>
    </w:p>
    <w:p>
      <w:pPr>
        <w:pStyle w:val="ListNumber"/>
        <w:spacing w:after="60"/>
        <w:ind w:left="403" w:hanging="259"/>
      </w:pPr>
      <w:r>
        <w:t>Normalize award, vendor, project and contract identifiers; retain the original legal vendor name and corporate-family field separately.</w:t>
      </w:r>
    </w:p>
    <w:p>
      <w:pPr>
        <w:pStyle w:val="ListNumber"/>
        <w:spacing w:after="60"/>
        <w:ind w:left="403" w:hanging="259"/>
      </w:pPr>
      <w:r>
        <w:t>Assign the policy version using the decision date, not the scrape date.</w:t>
      </w:r>
    </w:p>
    <w:p>
      <w:pPr>
        <w:pStyle w:val="ListNumber"/>
        <w:spacing w:after="60"/>
        <w:ind w:left="403" w:hanging="259"/>
      </w:pPr>
      <w:r>
        <w:t>Join solicitation, bids received, responsive bids, evaluation, award, amendments, invoices, vendor-performance actions and Council authority.</w:t>
      </w:r>
    </w:p>
    <w:p>
      <w:pPr>
        <w:pStyle w:val="ListNumber"/>
        <w:spacing w:after="60"/>
        <w:ind w:left="403" w:hanging="259"/>
      </w:pPr>
      <w:r>
        <w:t>Test each exception against the exact policy clause and approval threshold in force.</w:t>
      </w:r>
    </w:p>
    <w:p>
      <w:pPr>
        <w:pStyle w:val="ListNumber"/>
        <w:spacing w:after="60"/>
        <w:ind w:left="403" w:hanging="259"/>
      </w:pPr>
      <w:r>
        <w:t>Publish exceptions as questions first; classify a breach only after procurement/legal confirmation and source review.</w:t>
      </w:r>
    </w:p>
    <w:tbl>
      <w:tblPr>
        <w:tblW w:type="auto" w:w="0"/>
        <w:jc w:val="center"/>
        <w:tblLayout w:type="fixed"/>
        <w:tblLook w:firstColumn="1" w:firstRow="1" w:lastColumn="0" w:lastRow="0" w:noHBand="0" w:noVBand="1" w:val="04A0"/>
      </w:tblPr>
      <w:tblGrid>
        <w:gridCol w:w="115"/>
        <w:gridCol w:w="9648"/>
      </w:tblGrid>
      <w:tr>
        <w:tc>
          <w:tcPr>
            <w:tcW w:type="dxa" w:w="5054"/>
            <w:shd w:fill="B36A00"/>
            <w:tcMar>
              <w:top w:w="0" w:type="dxa"/>
              <w:start w:w="0" w:type="dxa"/>
              <w:bottom w:w="0" w:type="dxa"/>
              <w:end w:w="0" w:type="dxa"/>
            </w:tcMar>
          </w:tcPr>
          <w:p/>
        </w:tc>
        <w:tc>
          <w:tcPr>
            <w:tcW w:type="dxa" w:w="5054"/>
            <w:shd w:fill="FFF1D6"/>
            <w:tcMar>
              <w:top w:w="130" w:type="dxa"/>
              <w:start w:w="160" w:type="dxa"/>
              <w:bottom w:w="130" w:type="dxa"/>
              <w:end w:w="160" w:type="dxa"/>
            </w:tcMar>
            <w:tcBorders>
              <w:top w:val="single" w:sz="4" w:color="CBD6E0"/>
              <w:bottom w:val="single" w:sz="4" w:color="CBD6E0"/>
              <w:right w:val="single" w:sz="4" w:color="CBD6E0"/>
            </w:tcBorders>
          </w:tcPr>
          <w:p>
            <w:pPr>
              <w:spacing w:after="60"/>
            </w:pPr>
            <w:r>
              <w:rPr>
                <w:rFonts w:ascii="Aptos" w:hAnsi="Aptos"/>
                <w:b/>
                <w:color w:val="B36A00"/>
                <w:sz w:val="18"/>
              </w:rPr>
              <w:t>Procurement verdict</w:t>
            </w:r>
          </w:p>
          <w:p>
            <w:pPr>
              <w:spacing w:after="0" w:line="252" w:lineRule="auto"/>
            </w:pPr>
            <w:r>
              <w:t>Public reporting proves a visibility problem and confirms that formal compliance reports exist. It does not permit a reliable award-by-award conclusion on sole source, bid spread, amendment approval or vendor performance. Request R2 is the missing input, not a request to invent a finding.</w:t>
            </w:r>
          </w:p>
        </w:tc>
      </w:tr>
    </w:tbl>
    <w:p>
      <w:pPr>
        <w:spacing w:after="0"/>
      </w:pPr>
    </w:p>
    <w:p>
      <w:pPr>
        <w:spacing w:before="40" w:after="100"/>
      </w:pPr>
      <w:r>
        <w:rPr>
          <w:rFonts w:ascii="Aptos" w:hAnsi="Aptos"/>
          <w:b/>
          <w:color w:val="2166A5"/>
          <w:sz w:val="14"/>
        </w:rPr>
        <w:t xml:space="preserve">SOURCE LOCK  </w:t>
      </w:r>
      <w:r>
        <w:rPr>
          <w:rFonts w:ascii="Aptos" w:hAnsi="Aptos"/>
          <w:b/>
          <w:color w:val="182433"/>
          <w:sz w:val="14"/>
        </w:rPr>
        <w:t>S05–S08</w:t>
      </w:r>
    </w:p>
    <w:p>
      <w:pPr>
        <w:pageBreakBefore/>
        <w:spacing w:after="60"/>
      </w:pPr>
      <w:r>
        <w:rPr>
          <w:rFonts w:ascii="Aptos" w:hAnsi="Aptos"/>
          <w:b/>
          <w:color w:val="2166A5"/>
          <w:sz w:val="16"/>
        </w:rPr>
        <w:t>PART 6</w:t>
      </w:r>
    </w:p>
    <w:p>
      <w:pPr>
        <w:pStyle w:val="Heading1"/>
      </w:pPr>
      <w:r>
        <w:t>Workforce and productivity</w:t>
      </w:r>
    </w:p>
    <w:p>
      <w:pPr>
        <w:spacing w:after="60"/>
        <w:jc w:val="center"/>
      </w:pPr>
      <w:r>
        <w:drawing>
          <wp:inline xmlns:a="http://schemas.openxmlformats.org/drawingml/2006/main" xmlns:pic="http://schemas.openxmlformats.org/drawingml/2006/picture">
            <wp:extent cx="6126480" cy="2967785"/>
            <wp:docPr id="6" name="Picture 6" descr="Combined column and line chart showing the 2021 and 2025 Sunshine List disclosure population and total compensation." title="Figure 6"/>
            <wp:cNvGraphicFramePr>
              <a:graphicFrameLocks noChangeAspect="1"/>
            </wp:cNvGraphicFramePr>
            <a:graphic>
              <a:graphicData uri="http://schemas.openxmlformats.org/drawingml/2006/picture">
                <pic:pic>
                  <pic:nvPicPr>
                    <pic:cNvPr id="0" name="workforce_disclosure.png"/>
                    <pic:cNvPicPr/>
                  </pic:nvPicPr>
                  <pic:blipFill>
                    <a:blip r:embed="rId14"/>
                    <a:stretch>
                      <a:fillRect/>
                    </a:stretch>
                  </pic:blipFill>
                  <pic:spPr>
                    <a:xfrm>
                      <a:off x="0" y="0"/>
                      <a:ext cx="6126480" cy="2967785"/>
                    </a:xfrm>
                    <a:prstGeom prst="rect"/>
                  </pic:spPr>
                </pic:pic>
              </a:graphicData>
            </a:graphic>
          </wp:inline>
        </w:drawing>
      </w:r>
    </w:p>
    <w:p>
      <w:pPr>
        <w:pStyle w:val="Caption"/>
        <w:spacing w:after="140"/>
        <w:jc w:val="center"/>
      </w:pPr>
      <w:r>
        <w:t>Figure 6. Ontario salary-disclosure population only. It is not City headcount. Source: S28.</w:t>
      </w:r>
    </w:p>
    <w:tbl>
      <w:tblPr>
        <w:tblW w:type="auto" w:w="0"/>
        <w:jc w:val="center"/>
        <w:tblLayout w:type="fixed"/>
        <w:tblLook w:firstColumn="1" w:firstRow="1" w:lastColumn="0" w:lastRow="0" w:noHBand="0" w:noVBand="1" w:val="04A0"/>
      </w:tblPr>
      <w:tblGrid>
        <w:gridCol w:w="3369"/>
        <w:gridCol w:w="3369"/>
        <w:gridCol w:w="3369"/>
      </w:tblGrid>
      <w:tr>
        <w:tc>
          <w:tcPr>
            <w:tcW w:type="dxa" w:w="3288"/>
            <w:shd w:fill="EFF5F9"/>
            <w:tcMar>
              <w:top w:w="130" w:type="dxa"/>
              <w:start w:w="120" w:type="dxa"/>
              <w:bottom w:w="120" w:type="dxa"/>
              <w:end w:w="120" w:type="dxa"/>
            </w:tcMar>
            <w:tcBorders>
              <w:top w:val="single" w:sz="8" w:color="2166A5"/>
              <w:left w:val="single" w:sz="3" w:color="CBD6E0"/>
              <w:bottom w:val="single" w:sz="3" w:color="CBD6E0"/>
              <w:right w:val="single" w:sz="3" w:color="CBD6E0"/>
            </w:tcBorders>
          </w:tcPr>
          <w:p>
            <w:pPr>
              <w:jc w:val="center"/>
            </w:pPr>
            <w:r>
              <w:rPr>
                <w:rFonts w:ascii="Aptos Display" w:hAnsi="Aptos Display"/>
                <w:b/>
                <w:color w:val="2166A5"/>
                <w:sz w:val="34"/>
              </w:rPr>
              <w:t>579 → 831</w:t>
            </w:r>
          </w:p>
          <w:p>
            <w:pPr>
              <w:spacing w:after="40"/>
              <w:jc w:val="center"/>
            </w:pPr>
            <w:r>
              <w:rPr>
                <w:rFonts w:ascii="Aptos" w:hAnsi="Aptos"/>
                <w:b/>
                <w:color w:val="182433"/>
                <w:sz w:val="16"/>
              </w:rPr>
              <w:t>disclosed employees</w:t>
            </w:r>
          </w:p>
          <w:p>
            <w:pPr>
              <w:spacing w:after="0"/>
              <w:jc w:val="center"/>
            </w:pPr>
            <w:r>
              <w:rPr>
                <w:rFonts w:ascii="Aptos" w:hAnsi="Aptos"/>
                <w:color w:val="5E6B78"/>
                <w:sz w:val="14"/>
              </w:rPr>
              <w:t>+43.5%, 2021–2025</w:t>
            </w:r>
          </w:p>
        </w:tc>
        <w:tc>
          <w:tcPr>
            <w:tcW w:type="dxa" w:w="3288"/>
            <w:shd w:fill="EFF5F9"/>
            <w:tcMar>
              <w:top w:w="130" w:type="dxa"/>
              <w:start w:w="120" w:type="dxa"/>
              <w:bottom w:w="120" w:type="dxa"/>
              <w:end w:w="120" w:type="dxa"/>
            </w:tcMar>
            <w:tcBorders>
              <w:top w:val="single" w:sz="8" w:color="17365D"/>
              <w:left w:val="single" w:sz="3" w:color="CBD6E0"/>
              <w:bottom w:val="single" w:sz="3" w:color="CBD6E0"/>
              <w:right w:val="single" w:sz="3" w:color="CBD6E0"/>
            </w:tcBorders>
          </w:tcPr>
          <w:p>
            <w:pPr>
              <w:jc w:val="center"/>
            </w:pPr>
            <w:r>
              <w:rPr>
                <w:rFonts w:ascii="Aptos Display" w:hAnsi="Aptos Display"/>
                <w:b/>
                <w:color w:val="17365D"/>
                <w:sz w:val="34"/>
              </w:rPr>
              <w:t>$74.4M → $109.0M</w:t>
            </w:r>
          </w:p>
          <w:p>
            <w:pPr>
              <w:spacing w:after="40"/>
              <w:jc w:val="center"/>
            </w:pPr>
            <w:r>
              <w:rPr>
                <w:rFonts w:ascii="Aptos" w:hAnsi="Aptos"/>
                <w:b/>
                <w:color w:val="182433"/>
                <w:sz w:val="16"/>
              </w:rPr>
              <w:t>total compensation</w:t>
            </w:r>
          </w:p>
          <w:p>
            <w:pPr>
              <w:spacing w:after="0"/>
              <w:jc w:val="center"/>
            </w:pPr>
            <w:r>
              <w:rPr>
                <w:rFonts w:ascii="Aptos" w:hAnsi="Aptos"/>
                <w:color w:val="5E6B78"/>
                <w:sz w:val="14"/>
              </w:rPr>
              <w:t>+46.5%</w:t>
            </w:r>
          </w:p>
        </w:tc>
        <w:tc>
          <w:tcPr>
            <w:tcW w:type="dxa" w:w="3288"/>
            <w:shd w:fill="EFF5F9"/>
            <w:tcMar>
              <w:top w:w="130" w:type="dxa"/>
              <w:start w:w="120" w:type="dxa"/>
              <w:bottom w:w="120" w:type="dxa"/>
              <w:end w:w="120" w:type="dxa"/>
            </w:tcMar>
            <w:tcBorders>
              <w:top w:val="single" w:sz="8" w:color="2F7D5A"/>
              <w:left w:val="single" w:sz="3" w:color="CBD6E0"/>
              <w:bottom w:val="single" w:sz="3" w:color="CBD6E0"/>
              <w:right w:val="single" w:sz="3" w:color="CBD6E0"/>
            </w:tcBorders>
          </w:tcPr>
          <w:p>
            <w:pPr>
              <w:jc w:val="center"/>
            </w:pPr>
            <w:r>
              <w:rPr>
                <w:rFonts w:ascii="Aptos Display" w:hAnsi="Aptos Display"/>
                <w:b/>
                <w:color w:val="2F7D5A"/>
                <w:sz w:val="34"/>
              </w:rPr>
              <w:t>$127.5K → $129.7K</w:t>
            </w:r>
          </w:p>
          <w:p>
            <w:pPr>
              <w:spacing w:after="40"/>
              <w:jc w:val="center"/>
            </w:pPr>
            <w:r>
              <w:rPr>
                <w:rFonts w:ascii="Aptos" w:hAnsi="Aptos"/>
                <w:b/>
                <w:color w:val="182433"/>
                <w:sz w:val="16"/>
              </w:rPr>
              <w:t>average salary</w:t>
            </w:r>
          </w:p>
          <w:p>
            <w:pPr>
              <w:spacing w:after="0"/>
              <w:jc w:val="center"/>
            </w:pPr>
            <w:r>
              <w:rPr>
                <w:rFonts w:ascii="Aptos" w:hAnsi="Aptos"/>
                <w:color w:val="5E6B78"/>
                <w:sz w:val="14"/>
              </w:rPr>
              <w:t>+1.7% nominal</w:t>
            </w:r>
          </w:p>
        </w:tc>
      </w:tr>
    </w:tbl>
    <w:p>
      <w:pPr>
        <w:spacing w:after="0"/>
      </w:pPr>
    </w:p>
    <w:p>
      <w:pPr>
        <w:spacing w:after="100"/>
      </w:pPr>
      <w:r>
        <w:t>The public salary file is useful for one narrow question: how the population above Ontario’s disclosure threshold changed. It cannot answer total FTE growth, management ratio, spans, layers, vacancies, overtime, turnover, sick time, contracted labour, or output per FTE. Edition 3.0’s heuristic title buckets remain screening labels only.</w:t>
      </w:r>
    </w:p>
    <w:p>
      <w:pPr>
        <w:pStyle w:val="Heading2"/>
      </w:pPr>
      <w:r>
        <w:t>6.1 Screening result</w:t>
      </w:r>
    </w:p>
    <w:tbl>
      <w:tblPr>
        <w:tblW w:type="auto" w:w="0"/>
        <w:jc w:val="center"/>
        <w:tblLayout w:type="fixed"/>
        <w:tblLook w:firstColumn="1" w:firstRow="1" w:lastColumn="0" w:lastRow="0" w:noHBand="0" w:noVBand="1" w:val="04A0"/>
      </w:tblPr>
      <w:tblGrid>
        <w:gridCol w:w="2022"/>
        <w:gridCol w:w="2022"/>
        <w:gridCol w:w="2022"/>
        <w:gridCol w:w="2022"/>
        <w:gridCol w:w="2022"/>
      </w:tblGrid>
      <w:tr>
        <w:trPr>
          <w:tblHeader w:val="true"/>
        </w:trPr>
        <w:tc>
          <w:tcPr>
            <w:tcW w:type="dxa" w:w="2376"/>
            <w:shd w:fill="17365D"/>
            <w:tcMar>
              <w:top w:w="90" w:type="dxa"/>
              <w:start w:w="90" w:type="dxa"/>
              <w:bottom w:w="90" w:type="dxa"/>
              <w:end w:w="90" w:type="dxa"/>
            </w:tcMar>
          </w:tcPr>
          <w:p>
            <w:pPr>
              <w:spacing w:after="0"/>
            </w:pPr>
            <w:r>
              <w:rPr>
                <w:rFonts w:ascii="Aptos" w:hAnsi="Aptos"/>
                <w:b/>
                <w:color w:val="FFFFFF"/>
                <w:sz w:val="14"/>
              </w:rPr>
              <w:t>Heuristic title bucket</w:t>
            </w:r>
          </w:p>
        </w:tc>
        <w:tc>
          <w:tcPr>
            <w:tcW w:type="dxa" w:w="864"/>
            <w:shd w:fill="17365D"/>
            <w:tcMar>
              <w:top w:w="90" w:type="dxa"/>
              <w:start w:w="90" w:type="dxa"/>
              <w:bottom w:w="90" w:type="dxa"/>
              <w:end w:w="90" w:type="dxa"/>
            </w:tcMar>
          </w:tcPr>
          <w:p>
            <w:pPr>
              <w:spacing w:after="0"/>
            </w:pPr>
            <w:r>
              <w:rPr>
                <w:rFonts w:ascii="Aptos" w:hAnsi="Aptos"/>
                <w:b/>
                <w:color w:val="FFFFFF"/>
                <w:sz w:val="14"/>
              </w:rPr>
              <w:t>2021</w:t>
            </w:r>
          </w:p>
        </w:tc>
        <w:tc>
          <w:tcPr>
            <w:tcW w:type="dxa" w:w="864"/>
            <w:shd w:fill="17365D"/>
            <w:tcMar>
              <w:top w:w="90" w:type="dxa"/>
              <w:start w:w="90" w:type="dxa"/>
              <w:bottom w:w="90" w:type="dxa"/>
              <w:end w:w="90" w:type="dxa"/>
            </w:tcMar>
          </w:tcPr>
          <w:p>
            <w:pPr>
              <w:spacing w:after="0"/>
            </w:pPr>
            <w:r>
              <w:rPr>
                <w:rFonts w:ascii="Aptos" w:hAnsi="Aptos"/>
                <w:b/>
                <w:color w:val="FFFFFF"/>
                <w:sz w:val="14"/>
              </w:rPr>
              <w:t>2025</w:t>
            </w:r>
          </w:p>
        </w:tc>
        <w:tc>
          <w:tcPr>
            <w:tcW w:type="dxa" w:w="1152"/>
            <w:shd w:fill="17365D"/>
            <w:tcMar>
              <w:top w:w="90" w:type="dxa"/>
              <w:start w:w="90" w:type="dxa"/>
              <w:bottom w:w="90" w:type="dxa"/>
              <w:end w:w="90" w:type="dxa"/>
            </w:tcMar>
          </w:tcPr>
          <w:p>
            <w:pPr>
              <w:spacing w:after="0"/>
            </w:pPr>
            <w:r>
              <w:rPr>
                <w:rFonts w:ascii="Aptos" w:hAnsi="Aptos"/>
                <w:b/>
                <w:color w:val="FFFFFF"/>
                <w:sz w:val="14"/>
              </w:rPr>
              <w:t>Change</w:t>
            </w:r>
          </w:p>
        </w:tc>
        <w:tc>
          <w:tcPr>
            <w:tcW w:type="dxa" w:w="4464"/>
            <w:shd w:fill="17365D"/>
            <w:tcMar>
              <w:top w:w="90" w:type="dxa"/>
              <w:start w:w="90" w:type="dxa"/>
              <w:bottom w:w="90" w:type="dxa"/>
              <w:end w:w="90" w:type="dxa"/>
            </w:tcMar>
          </w:tcPr>
          <w:p>
            <w:pPr>
              <w:spacing w:after="0"/>
            </w:pPr>
            <w:r>
              <w:rPr>
                <w:rFonts w:ascii="Aptos" w:hAnsi="Aptos"/>
                <w:b/>
                <w:color w:val="FFFFFF"/>
                <w:sz w:val="14"/>
              </w:rPr>
              <w:t>Use</w:t>
            </w:r>
          </w:p>
        </w:tc>
      </w:tr>
      <w:tr>
        <w:trPr>
          <w:cantSplit/>
        </w:trPr>
        <w:tc>
          <w:tcPr>
            <w:tcW w:type="dxa" w:w="2376"/>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Management / supervisor</w:t>
            </w:r>
          </w:p>
        </w:tc>
        <w:tc>
          <w:tcPr>
            <w:tcW w:type="dxa" w:w="864"/>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167</w:t>
            </w:r>
          </w:p>
        </w:tc>
        <w:tc>
          <w:tcPr>
            <w:tcW w:type="dxa" w:w="864"/>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293</w:t>
            </w:r>
          </w:p>
        </w:tc>
        <w:tc>
          <w:tcPr>
            <w:tcW w:type="dxa" w:w="1152"/>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+75.4%</w:t>
            </w:r>
          </w:p>
        </w:tc>
        <w:tc>
          <w:tcPr>
            <w:tcW w:type="dxa" w:w="4464"/>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Records-request trigger; not official management count.</w:t>
            </w:r>
          </w:p>
        </w:tc>
      </w:tr>
      <w:tr>
        <w:trPr>
          <w:cantSplit/>
        </w:trPr>
        <w:tc>
          <w:tcPr>
            <w:tcW w:type="dxa" w:w="2376"/>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Professional / technical</w:t>
            </w:r>
          </w:p>
        </w:tc>
        <w:tc>
          <w:tcPr>
            <w:tcW w:type="dxa" w:w="864"/>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35</w:t>
            </w:r>
          </w:p>
        </w:tc>
        <w:tc>
          <w:tcPr>
            <w:tcW w:type="dxa" w:w="864"/>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76</w:t>
            </w:r>
          </w:p>
        </w:tc>
        <w:tc>
          <w:tcPr>
            <w:tcW w:type="dxa" w:w="1152"/>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+117.1%</w:t>
            </w:r>
          </w:p>
        </w:tc>
        <w:tc>
          <w:tcPr>
            <w:tcW w:type="dxa" w:w="4464"/>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Small-base, title-keyword screen.</w:t>
            </w:r>
          </w:p>
        </w:tc>
      </w:tr>
      <w:tr>
        <w:trPr>
          <w:cantSplit/>
        </w:trPr>
        <w:tc>
          <w:tcPr>
            <w:tcW w:type="dxa" w:w="2376"/>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Director / senior manager</w:t>
            </w:r>
          </w:p>
        </w:tc>
        <w:tc>
          <w:tcPr>
            <w:tcW w:type="dxa" w:w="864"/>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36</w:t>
            </w:r>
          </w:p>
        </w:tc>
        <w:tc>
          <w:tcPr>
            <w:tcW w:type="dxa" w:w="864"/>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42</w:t>
            </w:r>
          </w:p>
        </w:tc>
        <w:tc>
          <w:tcPr>
            <w:tcW w:type="dxa" w:w="1152"/>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+16.7%</w:t>
            </w:r>
          </w:p>
        </w:tc>
        <w:tc>
          <w:tcPr>
            <w:tcW w:type="dxa" w:w="4464"/>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Threshold population only.</w:t>
            </w:r>
          </w:p>
        </w:tc>
      </w:tr>
      <w:tr>
        <w:trPr>
          <w:cantSplit/>
        </w:trPr>
        <w:tc>
          <w:tcPr>
            <w:tcW w:type="dxa" w:w="2376"/>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Administrative / delivery</w:t>
            </w:r>
          </w:p>
        </w:tc>
        <w:tc>
          <w:tcPr>
            <w:tcW w:type="dxa" w:w="864"/>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9</w:t>
            </w:r>
          </w:p>
        </w:tc>
        <w:tc>
          <w:tcPr>
            <w:tcW w:type="dxa" w:w="864"/>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23</w:t>
            </w:r>
          </w:p>
        </w:tc>
        <w:tc>
          <w:tcPr>
            <w:tcW w:type="dxa" w:w="1152"/>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+155.6%</w:t>
            </w:r>
          </w:p>
        </w:tc>
        <w:tc>
          <w:tcPr>
            <w:tcW w:type="dxa" w:w="4464"/>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Small-base; do not generalize.</w:t>
            </w:r>
          </w:p>
        </w:tc>
      </w:tr>
      <w:tr>
        <w:trPr>
          <w:cantSplit/>
        </w:trPr>
        <w:tc>
          <w:tcPr>
            <w:tcW w:type="dxa" w:w="2376"/>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Executive leadership</w:t>
            </w:r>
          </w:p>
        </w:tc>
        <w:tc>
          <w:tcPr>
            <w:tcW w:type="dxa" w:w="864"/>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8</w:t>
            </w:r>
          </w:p>
        </w:tc>
        <w:tc>
          <w:tcPr>
            <w:tcW w:type="dxa" w:w="864"/>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8</w:t>
            </w:r>
          </w:p>
        </w:tc>
        <w:tc>
          <w:tcPr>
            <w:tcW w:type="dxa" w:w="1152"/>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0.0%</w:t>
            </w:r>
          </w:p>
        </w:tc>
        <w:tc>
          <w:tcPr>
            <w:tcW w:type="dxa" w:w="4464"/>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Threshold population only.</w:t>
            </w:r>
          </w:p>
        </w:tc>
      </w:tr>
      <w:tr>
        <w:trPr>
          <w:cantSplit/>
        </w:trPr>
        <w:tc>
          <w:tcPr>
            <w:tcW w:type="dxa" w:w="2376"/>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Fire / emergency frontline</w:t>
            </w:r>
          </w:p>
        </w:tc>
        <w:tc>
          <w:tcPr>
            <w:tcW w:type="dxa" w:w="864"/>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310</w:t>
            </w:r>
          </w:p>
        </w:tc>
        <w:tc>
          <w:tcPr>
            <w:tcW w:type="dxa" w:w="864"/>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325</w:t>
            </w:r>
          </w:p>
        </w:tc>
        <w:tc>
          <w:tcPr>
            <w:tcW w:type="dxa" w:w="1152"/>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+4.8%</w:t>
            </w:r>
          </w:p>
        </w:tc>
        <w:tc>
          <w:tcPr>
            <w:tcW w:type="dxa" w:w="4464"/>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Not total fire complement.</w:t>
            </w:r>
          </w:p>
        </w:tc>
      </w:tr>
      <w:tr>
        <w:trPr>
          <w:cantSplit/>
        </w:trPr>
        <w:tc>
          <w:tcPr>
            <w:tcW w:type="dxa" w:w="2376"/>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Operations / field</w:t>
            </w:r>
          </w:p>
        </w:tc>
        <w:tc>
          <w:tcPr>
            <w:tcW w:type="dxa" w:w="864"/>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5</w:t>
            </w:r>
          </w:p>
        </w:tc>
        <w:tc>
          <w:tcPr>
            <w:tcW w:type="dxa" w:w="864"/>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43</w:t>
            </w:r>
          </w:p>
        </w:tc>
        <w:tc>
          <w:tcPr>
            <w:tcW w:type="dxa" w:w="1152"/>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+760.0%</w:t>
            </w:r>
          </w:p>
        </w:tc>
        <w:tc>
          <w:tcPr>
            <w:tcW w:type="dxa" w:w="4464"/>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Classification-sensitive; do not cite as workforce growth.</w:t>
            </w:r>
          </w:p>
        </w:tc>
      </w:tr>
    </w:tbl>
    <w:p>
      <w:pPr>
        <w:spacing w:after="0"/>
      </w:pPr>
    </w:p>
    <w:p>
      <w:pPr>
        <w:pStyle w:val="Heading2"/>
      </w:pPr>
      <w:r>
        <w:t>6.2 Finished productivity specification</w:t>
      </w:r>
    </w:p>
    <w:tbl>
      <w:tblPr>
        <w:tblW w:type="auto" w:w="0"/>
        <w:jc w:val="center"/>
        <w:tblLayout w:type="fixed"/>
        <w:tblLook w:firstColumn="1" w:firstRow="1" w:lastColumn="0" w:lastRow="0" w:noHBand="0" w:noVBand="1" w:val="04A0"/>
      </w:tblPr>
      <w:tblGrid>
        <w:gridCol w:w="2527"/>
        <w:gridCol w:w="2527"/>
        <w:gridCol w:w="2527"/>
        <w:gridCol w:w="2527"/>
      </w:tblGrid>
      <w:tr>
        <w:trPr>
          <w:tblHeader w:val="true"/>
        </w:trPr>
        <w:tc>
          <w:tcPr>
            <w:tcW w:type="dxa" w:w="1728"/>
            <w:shd w:fill="17365D"/>
            <w:tcMar>
              <w:top w:w="90" w:type="dxa"/>
              <w:start w:w="90" w:type="dxa"/>
              <w:bottom w:w="90" w:type="dxa"/>
              <w:end w:w="90" w:type="dxa"/>
            </w:tcMar>
          </w:tcPr>
          <w:p>
            <w:pPr>
              <w:spacing w:after="0"/>
            </w:pPr>
            <w:r>
              <w:rPr>
                <w:rFonts w:ascii="Aptos" w:hAnsi="Aptos"/>
                <w:b/>
                <w:color w:val="FFFFFF"/>
                <w:sz w:val="14"/>
              </w:rPr>
              <w:t>Metric</w:t>
            </w:r>
          </w:p>
        </w:tc>
        <w:tc>
          <w:tcPr>
            <w:tcW w:type="dxa" w:w="2520"/>
            <w:shd w:fill="17365D"/>
            <w:tcMar>
              <w:top w:w="90" w:type="dxa"/>
              <w:start w:w="90" w:type="dxa"/>
              <w:bottom w:w="90" w:type="dxa"/>
              <w:end w:w="90" w:type="dxa"/>
            </w:tcMar>
          </w:tcPr>
          <w:p>
            <w:pPr>
              <w:spacing w:after="0"/>
            </w:pPr>
            <w:r>
              <w:rPr>
                <w:rFonts w:ascii="Aptos" w:hAnsi="Aptos"/>
                <w:b/>
                <w:color w:val="FFFFFF"/>
                <w:sz w:val="14"/>
              </w:rPr>
              <w:t>Numerator</w:t>
            </w:r>
          </w:p>
        </w:tc>
        <w:tc>
          <w:tcPr>
            <w:tcW w:type="dxa" w:w="2376"/>
            <w:shd w:fill="17365D"/>
            <w:tcMar>
              <w:top w:w="90" w:type="dxa"/>
              <w:start w:w="90" w:type="dxa"/>
              <w:bottom w:w="90" w:type="dxa"/>
              <w:end w:w="90" w:type="dxa"/>
            </w:tcMar>
          </w:tcPr>
          <w:p>
            <w:pPr>
              <w:spacing w:after="0"/>
            </w:pPr>
            <w:r>
              <w:rPr>
                <w:rFonts w:ascii="Aptos" w:hAnsi="Aptos"/>
                <w:b/>
                <w:color w:val="FFFFFF"/>
                <w:sz w:val="14"/>
              </w:rPr>
              <w:t>Denominator</w:t>
            </w:r>
          </w:p>
        </w:tc>
        <w:tc>
          <w:tcPr>
            <w:tcW w:type="dxa" w:w="3168"/>
            <w:shd w:fill="17365D"/>
            <w:tcMar>
              <w:top w:w="90" w:type="dxa"/>
              <w:start w:w="90" w:type="dxa"/>
              <w:bottom w:w="90" w:type="dxa"/>
              <w:end w:w="90" w:type="dxa"/>
            </w:tcMar>
          </w:tcPr>
          <w:p>
            <w:pPr>
              <w:spacing w:after="0"/>
            </w:pPr>
            <w:r>
              <w:rPr>
                <w:rFonts w:ascii="Aptos" w:hAnsi="Aptos"/>
                <w:b/>
                <w:color w:val="FFFFFF"/>
                <w:sz w:val="14"/>
              </w:rPr>
              <w:t>Required source</w:t>
            </w:r>
          </w:p>
        </w:tc>
      </w:tr>
      <w:tr>
        <w:trPr>
          <w:cantSplit/>
        </w:trPr>
        <w:tc>
          <w:tcPr>
            <w:tcW w:type="dxa" w:w="1728"/>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Management ratio</w:t>
            </w:r>
          </w:p>
        </w:tc>
        <w:tc>
          <w:tcPr>
            <w:tcW w:type="dxa" w:w="252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Official management FTE</w:t>
            </w:r>
          </w:p>
        </w:tc>
        <w:tc>
          <w:tcPr>
            <w:tcW w:type="dxa" w:w="2376"/>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Total active FTE</w:t>
            </w:r>
          </w:p>
        </w:tc>
        <w:tc>
          <w:tcPr>
            <w:tcW w:type="dxa" w:w="3168"/>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HR complement extract</w:t>
            </w:r>
          </w:p>
        </w:tc>
      </w:tr>
      <w:tr>
        <w:trPr>
          <w:cantSplit/>
        </w:trPr>
        <w:tc>
          <w:tcPr>
            <w:tcW w:type="dxa" w:w="1728"/>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Span of control</w:t>
            </w:r>
          </w:p>
        </w:tc>
        <w:tc>
          <w:tcPr>
            <w:tcW w:type="dxa" w:w="252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Direct reports</w:t>
            </w:r>
          </w:p>
        </w:tc>
        <w:tc>
          <w:tcPr>
            <w:tcW w:type="dxa" w:w="2376"/>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People managers</w:t>
            </w:r>
          </w:p>
        </w:tc>
        <w:tc>
          <w:tcPr>
            <w:tcW w:type="dxa" w:w="3168"/>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Position hierarchy</w:t>
            </w:r>
          </w:p>
        </w:tc>
      </w:tr>
      <w:tr>
        <w:trPr>
          <w:cantSplit/>
        </w:trPr>
        <w:tc>
          <w:tcPr>
            <w:tcW w:type="dxa" w:w="1728"/>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Vacancy rate</w:t>
            </w:r>
          </w:p>
        </w:tc>
        <w:tc>
          <w:tcPr>
            <w:tcW w:type="dxa" w:w="252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Budgeted FTE less filled FTE</w:t>
            </w:r>
          </w:p>
        </w:tc>
        <w:tc>
          <w:tcPr>
            <w:tcW w:type="dxa" w:w="2376"/>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Budgeted FTE</w:t>
            </w:r>
          </w:p>
        </w:tc>
        <w:tc>
          <w:tcPr>
            <w:tcW w:type="dxa" w:w="3168"/>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Monthly complement</w:t>
            </w:r>
          </w:p>
        </w:tc>
      </w:tr>
      <w:tr>
        <w:trPr>
          <w:cantSplit/>
        </w:trPr>
        <w:tc>
          <w:tcPr>
            <w:tcW w:type="dxa" w:w="1728"/>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Overtime burden</w:t>
            </w:r>
          </w:p>
        </w:tc>
        <w:tc>
          <w:tcPr>
            <w:tcW w:type="dxa" w:w="252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Overtime hours/cost</w:t>
            </w:r>
          </w:p>
        </w:tc>
        <w:tc>
          <w:tcPr>
            <w:tcW w:type="dxa" w:w="2376"/>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Worked hours/payroll</w:t>
            </w:r>
          </w:p>
        </w:tc>
        <w:tc>
          <w:tcPr>
            <w:tcW w:type="dxa" w:w="3168"/>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Payroll by service</w:t>
            </w:r>
          </w:p>
        </w:tc>
      </w:tr>
      <w:tr>
        <w:trPr>
          <w:cantSplit/>
        </w:trPr>
        <w:tc>
          <w:tcPr>
            <w:tcW w:type="dxa" w:w="1728"/>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Turnover</w:t>
            </w:r>
          </w:p>
        </w:tc>
        <w:tc>
          <w:tcPr>
            <w:tcW w:type="dxa" w:w="252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Separations</w:t>
            </w:r>
          </w:p>
        </w:tc>
        <w:tc>
          <w:tcPr>
            <w:tcW w:type="dxa" w:w="2376"/>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Average headcount</w:t>
            </w:r>
          </w:p>
        </w:tc>
        <w:tc>
          <w:tcPr>
            <w:tcW w:type="dxa" w:w="3168"/>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HR movement file</w:t>
            </w:r>
          </w:p>
        </w:tc>
      </w:tr>
      <w:tr>
        <w:trPr>
          <w:cantSplit/>
        </w:trPr>
        <w:tc>
          <w:tcPr>
            <w:tcW w:type="dxa" w:w="1728"/>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Consultant substitution</w:t>
            </w:r>
          </w:p>
        </w:tc>
        <w:tc>
          <w:tcPr>
            <w:tcW w:type="dxa" w:w="252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Consulting/contract labour FTE-equivalent</w:t>
            </w:r>
          </w:p>
        </w:tc>
        <w:tc>
          <w:tcPr>
            <w:tcW w:type="dxa" w:w="2376"/>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Employee FTE</w:t>
            </w:r>
          </w:p>
        </w:tc>
        <w:tc>
          <w:tcPr>
            <w:tcW w:type="dxa" w:w="3168"/>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AP + contract + HR crosswalk</w:t>
            </w:r>
          </w:p>
        </w:tc>
      </w:tr>
      <w:tr>
        <w:trPr>
          <w:cantSplit/>
        </w:trPr>
        <w:tc>
          <w:tcPr>
            <w:tcW w:type="dxa" w:w="1728"/>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Service productivity</w:t>
            </w:r>
          </w:p>
        </w:tc>
        <w:tc>
          <w:tcPr>
            <w:tcW w:type="dxa" w:w="252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Volume and quality output</w:t>
            </w:r>
          </w:p>
        </w:tc>
        <w:tc>
          <w:tcPr>
            <w:tcW w:type="dxa" w:w="2376"/>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FTE and operating cost</w:t>
            </w:r>
          </w:p>
        </w:tc>
        <w:tc>
          <w:tcPr>
            <w:tcW w:type="dxa" w:w="3168"/>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Service KPI + finance + HR</w:t>
            </w:r>
          </w:p>
        </w:tc>
      </w:tr>
    </w:tbl>
    <w:p>
      <w:pPr>
        <w:spacing w:after="0"/>
      </w:pPr>
    </w:p>
    <w:tbl>
      <w:tblPr>
        <w:tblW w:type="auto" w:w="0"/>
        <w:jc w:val="center"/>
        <w:tblLayout w:type="fixed"/>
        <w:tblLook w:firstColumn="1" w:firstRow="1" w:lastColumn="0" w:lastRow="0" w:noHBand="0" w:noVBand="1" w:val="04A0"/>
      </w:tblPr>
      <w:tblGrid>
        <w:gridCol w:w="115"/>
        <w:gridCol w:w="9648"/>
      </w:tblGrid>
      <w:tr>
        <w:tc>
          <w:tcPr>
            <w:tcW w:type="dxa" w:w="5054"/>
            <w:shd w:fill="B36A00"/>
            <w:tcMar>
              <w:top w:w="0" w:type="dxa"/>
              <w:start w:w="0" w:type="dxa"/>
              <w:bottom w:w="0" w:type="dxa"/>
              <w:end w:w="0" w:type="dxa"/>
            </w:tcMar>
          </w:tcPr>
          <w:p/>
        </w:tc>
        <w:tc>
          <w:tcPr>
            <w:tcW w:type="dxa" w:w="5054"/>
            <w:shd w:fill="FFF1D6"/>
            <w:tcMar>
              <w:top w:w="130" w:type="dxa"/>
              <w:start w:w="160" w:type="dxa"/>
              <w:bottom w:w="130" w:type="dxa"/>
              <w:end w:w="160" w:type="dxa"/>
            </w:tcMar>
            <w:tcBorders>
              <w:top w:val="single" w:sz="4" w:color="CBD6E0"/>
              <w:bottom w:val="single" w:sz="4" w:color="CBD6E0"/>
              <w:right w:val="single" w:sz="4" w:color="CBD6E0"/>
            </w:tcBorders>
          </w:tcPr>
          <w:p>
            <w:pPr>
              <w:spacing w:after="60"/>
            </w:pPr>
            <w:r>
              <w:rPr>
                <w:rFonts w:ascii="Aptos" w:hAnsi="Aptos"/>
                <w:b/>
                <w:color w:val="B36A00"/>
                <w:sz w:val="18"/>
              </w:rPr>
              <w:t>Disposition: records-dependent</w:t>
            </w:r>
          </w:p>
          <w:p>
            <w:pPr>
              <w:spacing w:after="0" w:line="252" w:lineRule="auto"/>
            </w:pPr>
            <w:r>
              <w:t>The workforce module is finished as an audit design and public-data screen. A numerical productivity conclusion would still be unsound without Request R3. The report therefore makes no claim that management grew faster than total staff on an official-complement basis.</w:t>
            </w:r>
          </w:p>
        </w:tc>
      </w:tr>
    </w:tbl>
    <w:p>
      <w:pPr>
        <w:spacing w:after="0"/>
      </w:pPr>
    </w:p>
    <w:p>
      <w:pPr>
        <w:spacing w:before="40" w:after="100"/>
      </w:pPr>
      <w:r>
        <w:rPr>
          <w:rFonts w:ascii="Aptos" w:hAnsi="Aptos"/>
          <w:b/>
          <w:color w:val="2166A5"/>
          <w:sz w:val="14"/>
        </w:rPr>
        <w:t xml:space="preserve">SOURCE LOCK  </w:t>
      </w:r>
      <w:r>
        <w:rPr>
          <w:rFonts w:ascii="Aptos" w:hAnsi="Aptos"/>
          <w:b/>
          <w:color w:val="182433"/>
          <w:sz w:val="14"/>
        </w:rPr>
        <w:t>S28, R3</w:t>
      </w:r>
    </w:p>
    <w:p>
      <w:pPr>
        <w:pageBreakBefore/>
        <w:spacing w:after="60"/>
      </w:pPr>
      <w:r>
        <w:rPr>
          <w:rFonts w:ascii="Aptos" w:hAnsi="Aptos"/>
          <w:b/>
          <w:color w:val="2166A5"/>
          <w:sz w:val="16"/>
        </w:rPr>
        <w:t>PART 7</w:t>
      </w:r>
    </w:p>
    <w:p>
      <w:pPr>
        <w:pStyle w:val="Heading1"/>
      </w:pPr>
      <w:r>
        <w:t>Housing delivery and homelessness</w:t>
      </w:r>
    </w:p>
    <w:p>
      <w:pPr>
        <w:pStyle w:val="Heading2"/>
      </w:pPr>
      <w:r>
        <w:t>7.1 Stage-separated 2025 housing ladder</w:t>
      </w:r>
    </w:p>
    <w:tbl>
      <w:tblPr>
        <w:tblW w:type="auto" w:w="0"/>
        <w:jc w:val="center"/>
        <w:tblLayout w:type="fixed"/>
        <w:tblLook w:firstColumn="1" w:firstRow="1" w:lastColumn="0" w:lastRow="0" w:noHBand="0" w:noVBand="1" w:val="04A0"/>
      </w:tblPr>
      <w:tblGrid>
        <w:gridCol w:w="2022"/>
        <w:gridCol w:w="2022"/>
        <w:gridCol w:w="2022"/>
        <w:gridCol w:w="2022"/>
        <w:gridCol w:w="2022"/>
      </w:tblGrid>
      <w:tr>
        <w:trPr>
          <w:tblHeader w:val="true"/>
        </w:trPr>
        <w:tc>
          <w:tcPr>
            <w:tcW w:type="dxa" w:w="1800"/>
            <w:shd w:fill="17365D"/>
            <w:tcMar>
              <w:top w:w="90" w:type="dxa"/>
              <w:start w:w="90" w:type="dxa"/>
              <w:bottom w:w="90" w:type="dxa"/>
              <w:end w:w="90" w:type="dxa"/>
            </w:tcMar>
          </w:tcPr>
          <w:p>
            <w:pPr>
              <w:spacing w:after="0"/>
            </w:pPr>
            <w:r>
              <w:rPr>
                <w:rFonts w:ascii="Aptos" w:hAnsi="Aptos"/>
                <w:b/>
                <w:color w:val="FFFFFF"/>
                <w:sz w:val="13"/>
              </w:rPr>
              <w:t>Indicator</w:t>
            </w:r>
          </w:p>
        </w:tc>
        <w:tc>
          <w:tcPr>
            <w:tcW w:type="dxa" w:w="1224"/>
            <w:shd w:fill="17365D"/>
            <w:tcMar>
              <w:top w:w="90" w:type="dxa"/>
              <w:start w:w="90" w:type="dxa"/>
              <w:bottom w:w="90" w:type="dxa"/>
              <w:end w:w="90" w:type="dxa"/>
            </w:tcMar>
          </w:tcPr>
          <w:p>
            <w:pPr>
              <w:spacing w:after="0"/>
            </w:pPr>
            <w:r>
              <w:rPr>
                <w:rFonts w:ascii="Aptos" w:hAnsi="Aptos"/>
                <w:b/>
                <w:color w:val="FFFFFF"/>
                <w:sz w:val="13"/>
              </w:rPr>
              <w:t>2025 figure</w:t>
            </w:r>
          </w:p>
        </w:tc>
        <w:tc>
          <w:tcPr>
            <w:tcW w:type="dxa" w:w="1656"/>
            <w:shd w:fill="17365D"/>
            <w:tcMar>
              <w:top w:w="90" w:type="dxa"/>
              <w:start w:w="90" w:type="dxa"/>
              <w:bottom w:w="90" w:type="dxa"/>
              <w:end w:w="90" w:type="dxa"/>
            </w:tcMar>
          </w:tcPr>
          <w:p>
            <w:pPr>
              <w:spacing w:after="0"/>
            </w:pPr>
            <w:r>
              <w:rPr>
                <w:rFonts w:ascii="Aptos" w:hAnsi="Aptos"/>
                <w:b/>
                <w:color w:val="FFFFFF"/>
                <w:sz w:val="13"/>
              </w:rPr>
              <w:t>Stage / scope</w:t>
            </w:r>
          </w:p>
        </w:tc>
        <w:tc>
          <w:tcPr>
            <w:tcW w:type="dxa" w:w="2520"/>
            <w:shd w:fill="17365D"/>
            <w:tcMar>
              <w:top w:w="90" w:type="dxa"/>
              <w:start w:w="90" w:type="dxa"/>
              <w:bottom w:w="90" w:type="dxa"/>
              <w:end w:w="90" w:type="dxa"/>
            </w:tcMar>
          </w:tcPr>
          <w:p>
            <w:pPr>
              <w:spacing w:after="0"/>
            </w:pPr>
            <w:r>
              <w:rPr>
                <w:rFonts w:ascii="Aptos" w:hAnsi="Aptos"/>
                <w:b/>
                <w:color w:val="FFFFFF"/>
                <w:sz w:val="13"/>
              </w:rPr>
              <w:t>What it proves</w:t>
            </w:r>
          </w:p>
        </w:tc>
        <w:tc>
          <w:tcPr>
            <w:tcW w:type="dxa" w:w="2592"/>
            <w:shd w:fill="17365D"/>
            <w:tcMar>
              <w:top w:w="90" w:type="dxa"/>
              <w:start w:w="90" w:type="dxa"/>
              <w:bottom w:w="90" w:type="dxa"/>
              <w:end w:w="90" w:type="dxa"/>
            </w:tcMar>
          </w:tcPr>
          <w:p>
            <w:pPr>
              <w:spacing w:after="0"/>
            </w:pPr>
            <w:r>
              <w:rPr>
                <w:rFonts w:ascii="Aptos" w:hAnsi="Aptos"/>
                <w:b/>
                <w:color w:val="FFFFFF"/>
                <w:sz w:val="13"/>
              </w:rPr>
              <w:t>What it does not prove</w:t>
            </w:r>
          </w:p>
        </w:tc>
      </w:tr>
      <w:tr>
        <w:trPr>
          <w:cantSplit/>
        </w:trPr>
        <w:tc>
          <w:tcPr>
            <w:tcW w:type="dxa" w:w="180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Residential building permits</w:t>
            </w:r>
          </w:p>
        </w:tc>
        <w:tc>
          <w:tcPr>
            <w:tcW w:type="dxa" w:w="1224"/>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5,462 units</w:t>
            </w:r>
          </w:p>
        </w:tc>
        <w:tc>
          <w:tcPr>
            <w:tcW w:type="dxa" w:w="1656"/>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All permitted units</w:t>
            </w:r>
          </w:p>
        </w:tc>
        <w:tc>
          <w:tcPr>
            <w:tcW w:type="dxa" w:w="252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Record permit output; +47.62% over 2024.</w:t>
            </w:r>
          </w:p>
        </w:tc>
        <w:tc>
          <w:tcPr>
            <w:tcW w:type="dxa" w:w="2592"/>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Starts, completions, occupancy or affordability.</w:t>
            </w:r>
          </w:p>
        </w:tc>
      </w:tr>
      <w:tr>
        <w:trPr>
          <w:cantSplit/>
        </w:trPr>
        <w:tc>
          <w:tcPr>
            <w:tcW w:type="dxa" w:w="180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HAF year-2 permits</w:t>
            </w:r>
          </w:p>
        </w:tc>
        <w:tc>
          <w:tcPr>
            <w:tcW w:type="dxa" w:w="1224"/>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4,284 vs 3,991 target</w:t>
            </w:r>
          </w:p>
        </w:tc>
        <w:tc>
          <w:tcPr>
            <w:tcW w:type="dxa" w:w="1656"/>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HAF measurement window</w:t>
            </w:r>
          </w:p>
        </w:tc>
        <w:tc>
          <w:tcPr>
            <w:tcW w:type="dxa" w:w="252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293 above target (+7.3%).</w:t>
            </w:r>
          </w:p>
        </w:tc>
        <w:tc>
          <w:tcPr>
            <w:tcW w:type="dxa" w:w="2592"/>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Completed/occupied HAF homes or causal attribution.</w:t>
            </w:r>
          </w:p>
        </w:tc>
      </w:tr>
      <w:tr>
        <w:trPr>
          <w:cantSplit/>
        </w:trPr>
        <w:tc>
          <w:tcPr>
            <w:tcW w:type="dxa" w:w="180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City-funded affordable tracked</w:t>
            </w:r>
          </w:p>
        </w:tc>
        <w:tc>
          <w:tcPr>
            <w:tcW w:type="dxa" w:w="1224"/>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2,576 units</w:t>
            </w:r>
          </w:p>
        </w:tc>
        <w:tc>
          <w:tcPr>
            <w:tcW w:type="dxa" w:w="1656"/>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Since late 2021</w:t>
            </w:r>
          </w:p>
        </w:tc>
        <w:tc>
          <w:tcPr>
            <w:tcW w:type="dxa" w:w="252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City-funded pipeline count.</w:t>
            </w:r>
          </w:p>
        </w:tc>
        <w:tc>
          <w:tcPr>
            <w:tcW w:type="dxa" w:w="2592"/>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That all units are built or occupied.</w:t>
            </w:r>
          </w:p>
        </w:tc>
      </w:tr>
      <w:tr>
        <w:trPr>
          <w:cantSplit/>
        </w:trPr>
        <w:tc>
          <w:tcPr>
            <w:tcW w:type="dxa" w:w="180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In progress</w:t>
            </w:r>
          </w:p>
        </w:tc>
        <w:tc>
          <w:tcPr>
            <w:tcW w:type="dxa" w:w="1224"/>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675 units</w:t>
            </w:r>
          </w:p>
        </w:tc>
        <w:tc>
          <w:tcPr>
            <w:tcW w:type="dxa" w:w="1656"/>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Subset of City-funded tracked</w:t>
            </w:r>
          </w:p>
        </w:tc>
        <w:tc>
          <w:tcPr>
            <w:tcW w:type="dxa" w:w="252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Project stage reported as in progress.</w:t>
            </w:r>
          </w:p>
        </w:tc>
        <w:tc>
          <w:tcPr>
            <w:tcW w:type="dxa" w:w="2592"/>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Uniform definition of start across projects.</w:t>
            </w:r>
          </w:p>
        </w:tc>
      </w:tr>
      <w:tr>
        <w:trPr>
          <w:cantSplit/>
        </w:trPr>
        <w:tc>
          <w:tcPr>
            <w:tcW w:type="dxa" w:w="180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In planning</w:t>
            </w:r>
          </w:p>
        </w:tc>
        <w:tc>
          <w:tcPr>
            <w:tcW w:type="dxa" w:w="1224"/>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1,360 units</w:t>
            </w:r>
          </w:p>
        </w:tc>
        <w:tc>
          <w:tcPr>
            <w:tcW w:type="dxa" w:w="1656"/>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Subset of City-funded tracked</w:t>
            </w:r>
          </w:p>
        </w:tc>
        <w:tc>
          <w:tcPr>
            <w:tcW w:type="dxa" w:w="252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Pipeline planning stage.</w:t>
            </w:r>
          </w:p>
        </w:tc>
        <w:tc>
          <w:tcPr>
            <w:tcW w:type="dxa" w:w="2592"/>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Approval, construction or occupancy.</w:t>
            </w:r>
          </w:p>
        </w:tc>
      </w:tr>
      <w:tr>
        <w:trPr>
          <w:cantSplit/>
        </w:trPr>
        <w:tc>
          <w:tcPr>
            <w:tcW w:type="dxa" w:w="180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City-led HSH completed &amp; occupied</w:t>
            </w:r>
          </w:p>
        </w:tc>
        <w:tc>
          <w:tcPr>
            <w:tcW w:type="dxa" w:w="1224"/>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44 units</w:t>
            </w:r>
          </w:p>
        </w:tc>
        <w:tc>
          <w:tcPr>
            <w:tcW w:type="dxa" w:w="1656"/>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Highly supportive housing</w:t>
            </w:r>
          </w:p>
        </w:tc>
        <w:tc>
          <w:tcPr>
            <w:tcW w:type="dxa" w:w="252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Explicit completion and occupancy.</w:t>
            </w:r>
          </w:p>
        </w:tc>
        <w:tc>
          <w:tcPr>
            <w:tcW w:type="dxa" w:w="2592"/>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All supportive housing in London.</w:t>
            </w:r>
          </w:p>
        </w:tc>
      </w:tr>
      <w:tr>
        <w:trPr>
          <w:cantSplit/>
        </w:trPr>
        <w:tc>
          <w:tcPr>
            <w:tcW w:type="dxa" w:w="180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HSH tracked</w:t>
            </w:r>
          </w:p>
        </w:tc>
        <w:tc>
          <w:tcPr>
            <w:tcW w:type="dxa" w:w="1224"/>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422 units</w:t>
            </w:r>
          </w:p>
        </w:tc>
        <w:tc>
          <w:tcPr>
            <w:tcW w:type="dxa" w:w="1656"/>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City/community/non-City funded</w:t>
            </w:r>
          </w:p>
        </w:tc>
        <w:tc>
          <w:tcPr>
            <w:tcW w:type="dxa" w:w="252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Combined tracked pipeline.</w:t>
            </w:r>
          </w:p>
        </w:tc>
        <w:tc>
          <w:tcPr>
            <w:tcW w:type="dxa" w:w="2592"/>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That all 422 are complete.</w:t>
            </w:r>
          </w:p>
        </w:tc>
      </w:tr>
    </w:tbl>
    <w:p>
      <w:pPr>
        <w:spacing w:after="0"/>
      </w:pPr>
    </w:p>
    <w:tbl>
      <w:tblPr>
        <w:tblW w:type="auto" w:w="0"/>
        <w:jc w:val="center"/>
        <w:tblLayout w:type="fixed"/>
        <w:tblLook w:firstColumn="1" w:firstRow="1" w:lastColumn="0" w:lastRow="0" w:noHBand="0" w:noVBand="1" w:val="04A0"/>
      </w:tblPr>
      <w:tblGrid>
        <w:gridCol w:w="115"/>
        <w:gridCol w:w="9648"/>
      </w:tblGrid>
      <w:tr>
        <w:tc>
          <w:tcPr>
            <w:tcW w:type="dxa" w:w="5054"/>
            <w:shd w:fill="2166A5"/>
            <w:tcMar>
              <w:top w:w="0" w:type="dxa"/>
              <w:start w:w="0" w:type="dxa"/>
              <w:bottom w:w="0" w:type="dxa"/>
              <w:end w:w="0" w:type="dxa"/>
            </w:tcMar>
          </w:tcPr>
          <w:p/>
        </w:tc>
        <w:tc>
          <w:tcPr>
            <w:tcW w:type="dxa" w:w="5054"/>
            <w:shd w:fill="D9EAF7"/>
            <w:tcMar>
              <w:top w:w="130" w:type="dxa"/>
              <w:start w:w="160" w:type="dxa"/>
              <w:bottom w:w="130" w:type="dxa"/>
              <w:end w:w="160" w:type="dxa"/>
            </w:tcMar>
            <w:tcBorders>
              <w:top w:val="single" w:sz="4" w:color="CBD6E0"/>
              <w:bottom w:val="single" w:sz="4" w:color="CBD6E0"/>
              <w:right w:val="single" w:sz="4" w:color="CBD6E0"/>
            </w:tcBorders>
          </w:tcPr>
          <w:p>
            <w:pPr>
              <w:spacing w:after="60"/>
            </w:pPr>
            <w:r>
              <w:rPr>
                <w:rFonts w:ascii="Aptos" w:hAnsi="Aptos"/>
                <w:b/>
                <w:color w:val="2166A5"/>
                <w:sz w:val="18"/>
              </w:rPr>
              <w:t>Affordable-housing reconciliation</w:t>
            </w:r>
          </w:p>
          <w:p>
            <w:pPr>
              <w:spacing w:after="0" w:line="252" w:lineRule="auto"/>
            </w:pPr>
            <w:r>
              <w:t>The report states 2,576 City-funded affordable units tracked, including 675 in progress and 1,360 in planning. Those two stated subsets total 2,035, leaving 541 units in other stages not broken out in the summary. That remainder is a classification question, not an error finding.</w:t>
            </w:r>
          </w:p>
        </w:tc>
      </w:tr>
    </w:tbl>
    <w:p>
      <w:pPr>
        <w:spacing w:after="0"/>
      </w:pPr>
    </w:p>
    <w:p>
      <w:pPr>
        <w:spacing w:after="100"/>
      </w:pPr>
      <w:r>
        <w:t>The same report adds 693 affordable units constructed without City funding and 75 non-City-funded highly supportive units, producing 3,344 affordable units that will be or have been constructed since Council approved the Roadmap. The mixed future/past wording means the 3,344 total should not be restated as completions.</w:t>
      </w:r>
    </w:p>
    <w:p>
      <w:pPr>
        <w:spacing w:before="40" w:after="100"/>
      </w:pPr>
      <w:r>
        <w:rPr>
          <w:rFonts w:ascii="Aptos" w:hAnsi="Aptos"/>
          <w:b/>
          <w:color w:val="2166A5"/>
          <w:sz w:val="14"/>
        </w:rPr>
        <w:t xml:space="preserve">SOURCE LOCK  </w:t>
      </w:r>
      <w:r>
        <w:rPr>
          <w:rFonts w:ascii="Aptos" w:hAnsi="Aptos"/>
          <w:b/>
          <w:color w:val="182433"/>
          <w:sz w:val="14"/>
        </w:rPr>
        <w:t>S02, S03</w:t>
      </w:r>
    </w:p>
    <w:p>
      <w:pPr>
        <w:pStyle w:val="Heading2"/>
      </w:pPr>
      <w:r>
        <w:t>7.2 Planning Act timeline exceptions</w:t>
      </w:r>
    </w:p>
    <w:tbl>
      <w:tblPr>
        <w:tblW w:type="auto" w:w="0"/>
        <w:jc w:val="center"/>
        <w:tblLayout w:type="fixed"/>
        <w:tblLook w:firstColumn="1" w:firstRow="1" w:lastColumn="0" w:lastRow="0" w:noHBand="0" w:noVBand="1" w:val="04A0"/>
      </w:tblPr>
      <w:tblGrid>
        <w:gridCol w:w="2527"/>
        <w:gridCol w:w="2527"/>
        <w:gridCol w:w="2527"/>
        <w:gridCol w:w="2527"/>
      </w:tblGrid>
      <w:tr>
        <w:trPr>
          <w:tblHeader w:val="true"/>
        </w:trPr>
        <w:tc>
          <w:tcPr>
            <w:tcW w:type="dxa" w:w="2880"/>
            <w:shd w:fill="17365D"/>
            <w:tcMar>
              <w:top w:w="90" w:type="dxa"/>
              <w:start w:w="90" w:type="dxa"/>
              <w:bottom w:w="90" w:type="dxa"/>
              <w:end w:w="90" w:type="dxa"/>
            </w:tcMar>
          </w:tcPr>
          <w:p>
            <w:pPr>
              <w:spacing w:after="0"/>
            </w:pPr>
            <w:r>
              <w:rPr>
                <w:rFonts w:ascii="Aptos" w:hAnsi="Aptos"/>
                <w:b/>
                <w:color w:val="FFFFFF"/>
                <w:sz w:val="15"/>
              </w:rPr>
              <w:t>Application type</w:t>
            </w:r>
          </w:p>
        </w:tc>
        <w:tc>
          <w:tcPr>
            <w:tcW w:type="dxa" w:w="1584"/>
            <w:shd w:fill="17365D"/>
            <w:tcMar>
              <w:top w:w="90" w:type="dxa"/>
              <w:start w:w="90" w:type="dxa"/>
              <w:bottom w:w="90" w:type="dxa"/>
              <w:end w:w="90" w:type="dxa"/>
            </w:tcMar>
          </w:tcPr>
          <w:p>
            <w:pPr>
              <w:spacing w:after="0"/>
            </w:pPr>
            <w:r>
              <w:rPr>
                <w:rFonts w:ascii="Aptos" w:hAnsi="Aptos"/>
                <w:b/>
                <w:color w:val="FFFFFF"/>
                <w:sz w:val="15"/>
              </w:rPr>
              <w:t>Within timeline</w:t>
            </w:r>
          </w:p>
        </w:tc>
        <w:tc>
          <w:tcPr>
            <w:tcW w:type="dxa" w:w="1512"/>
            <w:shd w:fill="17365D"/>
            <w:tcMar>
              <w:top w:w="90" w:type="dxa"/>
              <w:start w:w="90" w:type="dxa"/>
              <w:bottom w:w="90" w:type="dxa"/>
              <w:end w:w="90" w:type="dxa"/>
            </w:tcMar>
          </w:tcPr>
          <w:p>
            <w:pPr>
              <w:spacing w:after="0"/>
            </w:pPr>
            <w:r>
              <w:rPr>
                <w:rFonts w:ascii="Aptos" w:hAnsi="Aptos"/>
                <w:b/>
                <w:color w:val="FFFFFF"/>
                <w:sz w:val="15"/>
              </w:rPr>
              <w:t>Average days</w:t>
            </w:r>
          </w:p>
        </w:tc>
        <w:tc>
          <w:tcPr>
            <w:tcW w:type="dxa" w:w="3888"/>
            <w:shd w:fill="17365D"/>
            <w:tcMar>
              <w:top w:w="90" w:type="dxa"/>
              <w:start w:w="90" w:type="dxa"/>
              <w:bottom w:w="90" w:type="dxa"/>
              <w:end w:w="90" w:type="dxa"/>
            </w:tcMar>
          </w:tcPr>
          <w:p>
            <w:pPr>
              <w:spacing w:after="0"/>
            </w:pPr>
            <w:r>
              <w:rPr>
                <w:rFonts w:ascii="Aptos" w:hAnsi="Aptos"/>
                <w:b/>
                <w:color w:val="FFFFFF"/>
                <w:sz w:val="15"/>
              </w:rPr>
              <w:t>Screening note</w:t>
            </w:r>
          </w:p>
        </w:tc>
      </w:tr>
      <w:tr>
        <w:trPr>
          <w:cantSplit/>
        </w:trPr>
        <w:tc>
          <w:tcPr>
            <w:tcW w:type="dxa" w:w="288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5"/>
              </w:rPr>
              <w:t>OPA + zoning</w:t>
            </w:r>
          </w:p>
        </w:tc>
        <w:tc>
          <w:tcPr>
            <w:tcW w:type="dxa" w:w="1584"/>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5"/>
              </w:rPr>
              <w:t>94%</w:t>
            </w:r>
          </w:p>
        </w:tc>
        <w:tc>
          <w:tcPr>
            <w:tcW w:type="dxa" w:w="1512"/>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5"/>
              </w:rPr>
              <w:t>89</w:t>
            </w:r>
          </w:p>
        </w:tc>
        <w:tc>
          <w:tcPr>
            <w:tcW w:type="dxa" w:w="3888"/>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5"/>
              </w:rPr>
              <w:t>Mostly within published timeline.</w:t>
            </w:r>
          </w:p>
        </w:tc>
      </w:tr>
      <w:tr>
        <w:trPr>
          <w:cantSplit/>
        </w:trPr>
        <w:tc>
          <w:tcPr>
            <w:tcW w:type="dxa" w:w="288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5"/>
              </w:rPr>
              <w:t>Zoning</w:t>
            </w:r>
          </w:p>
        </w:tc>
        <w:tc>
          <w:tcPr>
            <w:tcW w:type="dxa" w:w="1584"/>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5"/>
              </w:rPr>
              <w:t>95%</w:t>
            </w:r>
          </w:p>
        </w:tc>
        <w:tc>
          <w:tcPr>
            <w:tcW w:type="dxa" w:w="1512"/>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5"/>
              </w:rPr>
              <w:t>76</w:t>
            </w:r>
          </w:p>
        </w:tc>
        <w:tc>
          <w:tcPr>
            <w:tcW w:type="dxa" w:w="3888"/>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5"/>
              </w:rPr>
              <w:t>Mostly within published timeline.</w:t>
            </w:r>
          </w:p>
        </w:tc>
      </w:tr>
      <w:tr>
        <w:trPr>
          <w:cantSplit/>
        </w:trPr>
        <w:tc>
          <w:tcPr>
            <w:tcW w:type="dxa" w:w="288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5"/>
              </w:rPr>
              <w:t>Removal of holding</w:t>
            </w:r>
          </w:p>
        </w:tc>
        <w:tc>
          <w:tcPr>
            <w:tcW w:type="dxa" w:w="1584"/>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5"/>
              </w:rPr>
              <w:t>78%</w:t>
            </w:r>
          </w:p>
        </w:tc>
        <w:tc>
          <w:tcPr>
            <w:tcW w:type="dxa" w:w="1512"/>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5"/>
              </w:rPr>
              <w:t>54</w:t>
            </w:r>
          </w:p>
        </w:tc>
        <w:tc>
          <w:tcPr>
            <w:tcW w:type="dxa" w:w="3888"/>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5"/>
              </w:rPr>
              <w:t>Material exception; cause not shown.</w:t>
            </w:r>
          </w:p>
        </w:tc>
      </w:tr>
      <w:tr>
        <w:trPr>
          <w:cantSplit/>
        </w:trPr>
        <w:tc>
          <w:tcPr>
            <w:tcW w:type="dxa" w:w="288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5"/>
              </w:rPr>
              <w:t>Draft subdivision</w:t>
            </w:r>
          </w:p>
        </w:tc>
        <w:tc>
          <w:tcPr>
            <w:tcW w:type="dxa" w:w="1584"/>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5"/>
              </w:rPr>
              <w:t>33%</w:t>
            </w:r>
          </w:p>
        </w:tc>
        <w:tc>
          <w:tcPr>
            <w:tcW w:type="dxa" w:w="1512"/>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5"/>
              </w:rPr>
              <w:t>145</w:t>
            </w:r>
          </w:p>
        </w:tc>
        <w:tc>
          <w:tcPr>
            <w:tcW w:type="dxa" w:w="3888"/>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5"/>
              </w:rPr>
              <w:t>Clearest published exception.</w:t>
            </w:r>
          </w:p>
        </w:tc>
      </w:tr>
      <w:tr>
        <w:trPr>
          <w:cantSplit/>
        </w:trPr>
        <w:tc>
          <w:tcPr>
            <w:tcW w:type="dxa" w:w="288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5"/>
              </w:rPr>
              <w:t>Site plan</w:t>
            </w:r>
          </w:p>
        </w:tc>
        <w:tc>
          <w:tcPr>
            <w:tcW w:type="dxa" w:w="1584"/>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5"/>
              </w:rPr>
              <w:t>100%</w:t>
            </w:r>
          </w:p>
        </w:tc>
        <w:tc>
          <w:tcPr>
            <w:tcW w:type="dxa" w:w="1512"/>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5"/>
              </w:rPr>
              <w:t>24</w:t>
            </w:r>
          </w:p>
        </w:tc>
        <w:tc>
          <w:tcPr>
            <w:tcW w:type="dxa" w:w="3888"/>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5"/>
              </w:rPr>
              <w:t>Reported within timeline.</w:t>
            </w:r>
          </w:p>
        </w:tc>
      </w:tr>
    </w:tbl>
    <w:p>
      <w:pPr>
        <w:spacing w:after="0"/>
      </w:pPr>
    </w:p>
    <w:p>
      <w:pPr>
        <w:spacing w:after="100"/>
      </w:pPr>
      <w:r>
        <w:t>MNP’s June 2026 Subdivision Review Process Audit separately identified streamlining opportunities and a technology implementation target in Q1 2027. Council discussion indicated the technology work was funded and underway; process review work was targeted into 2027.</w:t>
      </w:r>
    </w:p>
    <w:p>
      <w:pPr>
        <w:spacing w:before="40" w:after="100"/>
      </w:pPr>
      <w:r>
        <w:rPr>
          <w:rFonts w:ascii="Aptos" w:hAnsi="Aptos"/>
          <w:b/>
          <w:color w:val="2166A5"/>
          <w:sz w:val="14"/>
        </w:rPr>
        <w:t xml:space="preserve">SOURCE LOCK  </w:t>
      </w:r>
      <w:r>
        <w:rPr>
          <w:rFonts w:ascii="Aptos" w:hAnsi="Aptos"/>
          <w:b/>
          <w:color w:val="182433"/>
          <w:sz w:val="14"/>
        </w:rPr>
        <w:t>S02, S23</w:t>
      </w:r>
    </w:p>
    <w:p>
      <w:pPr>
        <w:pStyle w:val="Heading2"/>
      </w:pPr>
      <w:r>
        <w:t>7.3 Hubs: cost and outcome evidence</w:t>
      </w:r>
    </w:p>
    <w:tbl>
      <w:tblPr>
        <w:tblW w:type="auto" w:w="0"/>
        <w:jc w:val="center"/>
        <w:tblLayout w:type="fixed"/>
        <w:tblLook w:firstColumn="1" w:firstRow="1" w:lastColumn="0" w:lastRow="0" w:noHBand="0" w:noVBand="1" w:val="04A0"/>
      </w:tblPr>
      <w:tblGrid>
        <w:gridCol w:w="2527"/>
        <w:gridCol w:w="2527"/>
        <w:gridCol w:w="2527"/>
        <w:gridCol w:w="2527"/>
      </w:tblGrid>
      <w:tr>
        <w:trPr>
          <w:tblHeader w:val="true"/>
        </w:trPr>
        <w:tc>
          <w:tcPr>
            <w:tcW w:type="dxa" w:w="2304"/>
            <w:shd w:fill="17365D"/>
            <w:tcMar>
              <w:top w:w="90" w:type="dxa"/>
              <w:start w:w="90" w:type="dxa"/>
              <w:bottom w:w="90" w:type="dxa"/>
              <w:end w:w="90" w:type="dxa"/>
            </w:tcMar>
          </w:tcPr>
          <w:p>
            <w:pPr>
              <w:spacing w:after="0"/>
            </w:pPr>
            <w:r>
              <w:rPr>
                <w:rFonts w:ascii="Aptos" w:hAnsi="Aptos"/>
                <w:b/>
                <w:color w:val="FFFFFF"/>
                <w:sz w:val="15"/>
              </w:rPr>
              <w:t>Operator</w:t>
            </w:r>
          </w:p>
        </w:tc>
        <w:tc>
          <w:tcPr>
            <w:tcW w:type="dxa" w:w="1944"/>
            <w:shd w:fill="17365D"/>
            <w:tcMar>
              <w:top w:w="90" w:type="dxa"/>
              <w:start w:w="90" w:type="dxa"/>
              <w:bottom w:w="90" w:type="dxa"/>
              <w:end w:w="90" w:type="dxa"/>
            </w:tcMar>
          </w:tcPr>
          <w:p>
            <w:pPr>
              <w:spacing w:after="0"/>
            </w:pPr>
            <w:r>
              <w:rPr>
                <w:rFonts w:ascii="Aptos" w:hAnsi="Aptos"/>
                <w:b/>
                <w:color w:val="FFFFFF"/>
                <w:sz w:val="15"/>
              </w:rPr>
              <w:t>Dec. 2023–Dec. 2025 expenditure</w:t>
            </w:r>
          </w:p>
        </w:tc>
        <w:tc>
          <w:tcPr>
            <w:tcW w:type="dxa" w:w="1584"/>
            <w:shd w:fill="17365D"/>
            <w:tcMar>
              <w:top w:w="90" w:type="dxa"/>
              <w:start w:w="90" w:type="dxa"/>
              <w:bottom w:w="90" w:type="dxa"/>
              <w:end w:w="90" w:type="dxa"/>
            </w:tcMar>
          </w:tcPr>
          <w:p>
            <w:pPr>
              <w:spacing w:after="0"/>
            </w:pPr>
            <w:r>
              <w:rPr>
                <w:rFonts w:ascii="Aptos" w:hAnsi="Aptos"/>
                <w:b/>
                <w:color w:val="FFFFFF"/>
                <w:sz w:val="15"/>
              </w:rPr>
              <w:t>Budget</w:t>
            </w:r>
          </w:p>
        </w:tc>
        <w:tc>
          <w:tcPr>
            <w:tcW w:type="dxa" w:w="4032"/>
            <w:shd w:fill="17365D"/>
            <w:tcMar>
              <w:top w:w="90" w:type="dxa"/>
              <w:start w:w="90" w:type="dxa"/>
              <w:bottom w:w="90" w:type="dxa"/>
              <w:end w:w="90" w:type="dxa"/>
            </w:tcMar>
          </w:tcPr>
          <w:p>
            <w:pPr>
              <w:spacing w:after="0"/>
            </w:pPr>
            <w:r>
              <w:rPr>
                <w:rFonts w:ascii="Aptos" w:hAnsi="Aptos"/>
                <w:b/>
                <w:color w:val="FFFFFF"/>
                <w:sz w:val="15"/>
              </w:rPr>
              <w:t>Cost structure / screen</w:t>
            </w:r>
          </w:p>
        </w:tc>
      </w:tr>
      <w:tr>
        <w:trPr>
          <w:cantSplit/>
        </w:trPr>
        <w:tc>
          <w:tcPr>
            <w:tcW w:type="dxa" w:w="2304"/>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5"/>
              </w:rPr>
              <w:t>Youth Opportunities Unlimited</w:t>
            </w:r>
          </w:p>
        </w:tc>
        <w:tc>
          <w:tcPr>
            <w:tcW w:type="dxa" w:w="1944"/>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5"/>
              </w:rPr>
              <w:t>$2,979,974</w:t>
            </w:r>
          </w:p>
        </w:tc>
        <w:tc>
          <w:tcPr>
            <w:tcW w:type="dxa" w:w="1584"/>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5"/>
              </w:rPr>
              <w:t>$3,301,300</w:t>
            </w:r>
          </w:p>
        </w:tc>
        <w:tc>
          <w:tcPr>
            <w:tcW w:type="dxa" w:w="4032"/>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5"/>
              </w:rPr>
              <w:t>Staff $1,948,994; participant $241,416; operating $789,563.</w:t>
            </w:r>
          </w:p>
        </w:tc>
      </w:tr>
      <w:tr>
        <w:trPr>
          <w:cantSplit/>
        </w:trPr>
        <w:tc>
          <w:tcPr>
            <w:tcW w:type="dxa" w:w="2304"/>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5"/>
              </w:rPr>
              <w:t>Atlohsa</w:t>
            </w:r>
          </w:p>
        </w:tc>
        <w:tc>
          <w:tcPr>
            <w:tcW w:type="dxa" w:w="1944"/>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5"/>
              </w:rPr>
              <w:t>$4,248,275</w:t>
            </w:r>
          </w:p>
        </w:tc>
        <w:tc>
          <w:tcPr>
            <w:tcW w:type="dxa" w:w="1584"/>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5"/>
              </w:rPr>
              <w:t>$4,236,292</w:t>
            </w:r>
          </w:p>
        </w:tc>
        <w:tc>
          <w:tcPr>
            <w:tcW w:type="dxa" w:w="4032"/>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5"/>
              </w:rPr>
              <w:t>Staff $1,987,236; participant $445,839; operating $1,613,472; admin $201,728.</w:t>
            </w:r>
          </w:p>
        </w:tc>
      </w:tr>
    </w:tbl>
    <w:p>
      <w:pPr>
        <w:spacing w:after="0"/>
      </w:pPr>
    </w:p>
    <w:p>
      <w:pPr>
        <w:spacing w:after="100"/>
      </w:pPr>
      <w:r>
        <w:t>MNP’s supplemental report calculates approximate bed-day costs of $120.93 for shelter, $207.25 for Atlohsa and $362.34 for YOU. It also reports more than 100 people served, more than 40 stable-housing outcomes and an extreme-use case where emergency-department visits fell from 221 to 9. These figures strengthen the outcome evidence but still do not supply a location-by-location cohort, length-of-stay, housing-retention or critical-incident ledger.</w:t>
      </w:r>
    </w:p>
    <w:tbl>
      <w:tblPr>
        <w:tblW w:type="auto" w:w="0"/>
        <w:jc w:val="center"/>
        <w:tblLayout w:type="fixed"/>
        <w:tblLook w:firstColumn="1" w:firstRow="1" w:lastColumn="0" w:lastRow="0" w:noHBand="0" w:noVBand="1" w:val="04A0"/>
      </w:tblPr>
      <w:tblGrid>
        <w:gridCol w:w="115"/>
        <w:gridCol w:w="9648"/>
      </w:tblGrid>
      <w:tr>
        <w:tc>
          <w:tcPr>
            <w:tcW w:type="dxa" w:w="5054"/>
            <w:shd w:fill="2F7D5A"/>
            <w:tcMar>
              <w:top w:w="0" w:type="dxa"/>
              <w:start w:w="0" w:type="dxa"/>
              <w:bottom w:w="0" w:type="dxa"/>
              <w:end w:w="0" w:type="dxa"/>
            </w:tcMar>
          </w:tcPr>
          <w:p/>
        </w:tc>
        <w:tc>
          <w:tcPr>
            <w:tcW w:type="dxa" w:w="5054"/>
            <w:shd w:fill="E4F2EA"/>
            <w:tcMar>
              <w:top w:w="130" w:type="dxa"/>
              <w:start w:w="160" w:type="dxa"/>
              <w:bottom w:w="130" w:type="dxa"/>
              <w:end w:w="160" w:type="dxa"/>
            </w:tcMar>
            <w:tcBorders>
              <w:top w:val="single" w:sz="4" w:color="CBD6E0"/>
              <w:bottom w:val="single" w:sz="4" w:color="CBD6E0"/>
              <w:right w:val="single" w:sz="4" w:color="CBD6E0"/>
            </w:tcBorders>
          </w:tcPr>
          <w:p>
            <w:pPr>
              <w:spacing w:after="60"/>
            </w:pPr>
            <w:r>
              <w:rPr>
                <w:rFonts w:ascii="Aptos" w:hAnsi="Aptos"/>
                <w:b/>
                <w:color w:val="2F7D5A"/>
                <w:sz w:val="18"/>
              </w:rPr>
              <w:t>Balanced finding</w:t>
            </w:r>
          </w:p>
          <w:p>
            <w:pPr>
              <w:spacing w:after="0" w:line="252" w:lineRule="auto"/>
            </w:pPr>
            <w:r>
              <w:t>Stevenson’s September 2025 dissent correctly identified missing decision-grade outcome detail. The February 2026 supplement materially improves the cost breakdown and comparison, but it still does not close the project-level cohort and retention questions. Request R4 asks for the missing join.</w:t>
            </w:r>
          </w:p>
        </w:tc>
      </w:tr>
    </w:tbl>
    <w:p>
      <w:pPr>
        <w:spacing w:after="0"/>
      </w:pPr>
    </w:p>
    <w:p>
      <w:pPr>
        <w:spacing w:before="40" w:after="100"/>
      </w:pPr>
      <w:r>
        <w:rPr>
          <w:rFonts w:ascii="Aptos" w:hAnsi="Aptos"/>
          <w:b/>
          <w:color w:val="2166A5"/>
          <w:sz w:val="14"/>
        </w:rPr>
        <w:t xml:space="preserve">SOURCE LOCK  </w:t>
      </w:r>
      <w:r>
        <w:rPr>
          <w:rFonts w:ascii="Aptos" w:hAnsi="Aptos"/>
          <w:b/>
          <w:color w:val="182433"/>
          <w:sz w:val="14"/>
        </w:rPr>
        <w:t>S17–S19, R4</w:t>
      </w:r>
    </w:p>
    <w:p>
      <w:pPr>
        <w:pageBreakBefore/>
        <w:spacing w:after="60"/>
      </w:pPr>
      <w:r>
        <w:rPr>
          <w:rFonts w:ascii="Aptos" w:hAnsi="Aptos"/>
          <w:b/>
          <w:color w:val="2166A5"/>
          <w:sz w:val="16"/>
        </w:rPr>
        <w:t>PART 8</w:t>
      </w:r>
    </w:p>
    <w:p>
      <w:pPr>
        <w:pStyle w:val="Heading1"/>
      </w:pPr>
      <w:r>
        <w:t>Community grants and CIP incentives</w:t>
      </w:r>
    </w:p>
    <w:p>
      <w:pPr>
        <w:pStyle w:val="Heading2"/>
      </w:pPr>
      <w:r>
        <w:t>8.1 2024–2027 multi-year grant ledger</w:t>
      </w:r>
    </w:p>
    <w:tbl>
      <w:tblPr>
        <w:tblW w:type="auto" w:w="0"/>
        <w:jc w:val="center"/>
        <w:tblLayout w:type="fixed"/>
        <w:tblLook w:firstColumn="1" w:firstRow="1" w:lastColumn="0" w:lastRow="0" w:noHBand="0" w:noVBand="1" w:val="04A0"/>
      </w:tblPr>
      <w:tblGrid>
        <w:gridCol w:w="3369"/>
        <w:gridCol w:w="3369"/>
        <w:gridCol w:w="3369"/>
      </w:tblGrid>
      <w:tr>
        <w:tc>
          <w:tcPr>
            <w:tcW w:type="dxa" w:w="3288"/>
            <w:shd w:fill="EFF5F9"/>
            <w:tcMar>
              <w:top w:w="130" w:type="dxa"/>
              <w:start w:w="120" w:type="dxa"/>
              <w:bottom w:w="120" w:type="dxa"/>
              <w:end w:w="120" w:type="dxa"/>
            </w:tcMar>
            <w:tcBorders>
              <w:top w:val="single" w:sz="8" w:color="17365D"/>
              <w:left w:val="single" w:sz="3" w:color="CBD6E0"/>
              <w:bottom w:val="single" w:sz="3" w:color="CBD6E0"/>
              <w:right w:val="single" w:sz="3" w:color="CBD6E0"/>
            </w:tcBorders>
          </w:tcPr>
          <w:p>
            <w:pPr>
              <w:jc w:val="center"/>
            </w:pPr>
            <w:r>
              <w:rPr>
                <w:rFonts w:ascii="Aptos Display" w:hAnsi="Aptos Display"/>
                <w:b/>
                <w:color w:val="17365D"/>
                <w:sz w:val="34"/>
              </w:rPr>
              <w:t>42</w:t>
            </w:r>
          </w:p>
          <w:p>
            <w:pPr>
              <w:spacing w:after="40"/>
              <w:jc w:val="center"/>
            </w:pPr>
            <w:r>
              <w:rPr>
                <w:rFonts w:ascii="Aptos" w:hAnsi="Aptos"/>
                <w:b/>
                <w:color w:val="182433"/>
                <w:sz w:val="16"/>
              </w:rPr>
              <w:t>recipient organizations</w:t>
            </w:r>
          </w:p>
          <w:p>
            <w:pPr>
              <w:spacing w:after="0"/>
              <w:jc w:val="center"/>
            </w:pPr>
            <w:r>
              <w:rPr>
                <w:rFonts w:ascii="Aptos" w:hAnsi="Aptos"/>
                <w:color w:val="5E6B78"/>
                <w:sz w:val="14"/>
              </w:rPr>
              <w:t>Complete published list</w:t>
            </w:r>
          </w:p>
        </w:tc>
        <w:tc>
          <w:tcPr>
            <w:tcW w:type="dxa" w:w="3288"/>
            <w:shd w:fill="EFF5F9"/>
            <w:tcMar>
              <w:top w:w="130" w:type="dxa"/>
              <w:start w:w="120" w:type="dxa"/>
              <w:bottom w:w="120" w:type="dxa"/>
              <w:end w:w="120" w:type="dxa"/>
            </w:tcMar>
            <w:tcBorders>
              <w:top w:val="single" w:sz="8" w:color="2166A5"/>
              <w:left w:val="single" w:sz="3" w:color="CBD6E0"/>
              <w:bottom w:val="single" w:sz="3" w:color="CBD6E0"/>
              <w:right w:val="single" w:sz="3" w:color="CBD6E0"/>
            </w:tcBorders>
          </w:tcPr>
          <w:p>
            <w:pPr>
              <w:jc w:val="center"/>
            </w:pPr>
            <w:r>
              <w:rPr>
                <w:rFonts w:ascii="Aptos Display" w:hAnsi="Aptos Display"/>
                <w:b/>
                <w:color w:val="2166A5"/>
                <w:sz w:val="34"/>
              </w:rPr>
              <w:t>$9.2M</w:t>
            </w:r>
          </w:p>
          <w:p>
            <w:pPr>
              <w:spacing w:after="40"/>
              <w:jc w:val="center"/>
            </w:pPr>
            <w:r>
              <w:rPr>
                <w:rFonts w:ascii="Aptos" w:hAnsi="Aptos"/>
                <w:b/>
                <w:color w:val="182433"/>
                <w:sz w:val="16"/>
              </w:rPr>
              <w:t>four-year allocation</w:t>
            </w:r>
          </w:p>
          <w:p>
            <w:pPr>
              <w:spacing w:after="0"/>
              <w:jc w:val="center"/>
            </w:pPr>
            <w:r>
              <w:rPr>
                <w:rFonts w:ascii="Aptos" w:hAnsi="Aptos"/>
                <w:color w:val="5E6B78"/>
                <w:sz w:val="14"/>
              </w:rPr>
              <w:t>$2.3M per year</w:t>
            </w:r>
          </w:p>
        </w:tc>
        <w:tc>
          <w:tcPr>
            <w:tcW w:type="dxa" w:w="3288"/>
            <w:shd w:fill="EFF5F9"/>
            <w:tcMar>
              <w:top w:w="130" w:type="dxa"/>
              <w:start w:w="120" w:type="dxa"/>
              <w:bottom w:w="120" w:type="dxa"/>
              <w:end w:w="120" w:type="dxa"/>
            </w:tcMar>
            <w:tcBorders>
              <w:top w:val="single" w:sz="8" w:color="2F7D5A"/>
              <w:left w:val="single" w:sz="3" w:color="CBD6E0"/>
              <w:bottom w:val="single" w:sz="3" w:color="CBD6E0"/>
              <w:right w:val="single" w:sz="3" w:color="CBD6E0"/>
            </w:tcBorders>
          </w:tcPr>
          <w:p>
            <w:pPr>
              <w:jc w:val="center"/>
            </w:pPr>
            <w:r>
              <w:rPr>
                <w:rFonts w:ascii="Aptos Display" w:hAnsi="Aptos Display"/>
                <w:b/>
                <w:color w:val="2F7D5A"/>
                <w:sz w:val="34"/>
              </w:rPr>
              <w:t>164,003</w:t>
            </w:r>
          </w:p>
          <w:p>
            <w:pPr>
              <w:spacing w:after="40"/>
              <w:jc w:val="center"/>
            </w:pPr>
            <w:r>
              <w:rPr>
                <w:rFonts w:ascii="Aptos" w:hAnsi="Aptos"/>
                <w:b/>
                <w:color w:val="182433"/>
                <w:sz w:val="16"/>
              </w:rPr>
              <w:t>people served / year</w:t>
            </w:r>
          </w:p>
          <w:p>
            <w:pPr>
              <w:spacing w:after="0"/>
              <w:jc w:val="center"/>
            </w:pPr>
            <w:r>
              <w:rPr>
                <w:rFonts w:ascii="Aptos" w:hAnsi="Aptos"/>
                <w:color w:val="5E6B78"/>
                <w:sz w:val="14"/>
              </w:rPr>
              <w:t>Average reported 2024–2025</w:t>
            </w:r>
          </w:p>
        </w:tc>
      </w:tr>
    </w:tbl>
    <w:p>
      <w:pPr>
        <w:spacing w:after="0"/>
      </w:pPr>
    </w:p>
    <w:p>
      <w:pPr>
        <w:spacing w:after="60"/>
        <w:jc w:val="center"/>
      </w:pPr>
      <w:r>
        <w:drawing>
          <wp:inline xmlns:a="http://schemas.openxmlformats.org/drawingml/2006/main" xmlns:pic="http://schemas.openxmlformats.org/drawingml/2006/picture">
            <wp:extent cx="6126480" cy="3514860"/>
            <wp:docPr id="7" name="Picture 7" descr="Horizontal bar chart of the ten largest published 2024–2027 multi-year community-grant allocations." title="Figure 7"/>
            <wp:cNvGraphicFramePr>
              <a:graphicFrameLocks noChangeAspect="1"/>
            </wp:cNvGraphicFramePr>
            <a:graphic>
              <a:graphicData uri="http://schemas.openxmlformats.org/drawingml/2006/picture">
                <pic:pic>
                  <pic:nvPicPr>
                    <pic:cNvPr id="0" name="grants_top.png"/>
                    <pic:cNvPicPr/>
                  </pic:nvPicPr>
                  <pic:blipFill>
                    <a:blip r:embed="rId15"/>
                    <a:stretch>
                      <a:fillRect/>
                    </a:stretch>
                  </pic:blipFill>
                  <pic:spPr>
                    <a:xfrm>
                      <a:off x="0" y="0"/>
                      <a:ext cx="6126480" cy="3514860"/>
                    </a:xfrm>
                    <a:prstGeom prst="rect"/>
                  </pic:spPr>
                </pic:pic>
              </a:graphicData>
            </a:graphic>
          </wp:inline>
        </w:drawing>
      </w:r>
    </w:p>
    <w:p>
      <w:pPr>
        <w:pStyle w:val="Caption"/>
        <w:spacing w:after="140"/>
        <w:jc w:val="center"/>
      </w:pPr>
      <w:r>
        <w:t>Figure 7. Four-year allocations; approval/allocation is not the same as cash paid. Source: S14.</w:t>
      </w:r>
    </w:p>
    <w:p>
      <w:pPr>
        <w:spacing w:after="100"/>
      </w:pPr>
      <w:r>
        <w:t>The City’s June 2026 impact report says the multi-year program leveraged more than $50 million in other funding and that all listed projects were meeting expected outcomes at the time of reporting. Those are program-reported results; the ledger still needs agreement-level payments, evidence and closeout to support an independent outcome audit.</w:t>
      </w:r>
    </w:p>
    <w:p>
      <w:pPr>
        <w:spacing w:before="40" w:after="100"/>
      </w:pPr>
      <w:r>
        <w:rPr>
          <w:rFonts w:ascii="Aptos" w:hAnsi="Aptos"/>
          <w:b/>
          <w:color w:val="2166A5"/>
          <w:sz w:val="14"/>
        </w:rPr>
        <w:t xml:space="preserve">SOURCE LOCK  </w:t>
      </w:r>
      <w:r>
        <w:rPr>
          <w:rFonts w:ascii="Aptos" w:hAnsi="Aptos"/>
          <w:b/>
          <w:color w:val="182433"/>
          <w:sz w:val="14"/>
        </w:rPr>
        <w:t>S14, S15</w:t>
      </w:r>
    </w:p>
    <w:tbl>
      <w:tblPr>
        <w:tblW w:type="auto" w:w="0"/>
        <w:jc w:val="center"/>
        <w:tblLayout w:type="fixed"/>
        <w:tblLook w:firstColumn="1" w:firstRow="1" w:lastColumn="0" w:lastRow="0" w:noHBand="0" w:noVBand="1" w:val="04A0"/>
      </w:tblPr>
      <w:tblGrid>
        <w:gridCol w:w="5054"/>
        <w:gridCol w:w="5054"/>
      </w:tblGrid>
      <w:tr>
        <w:trPr>
          <w:tblHeader w:val="true"/>
        </w:trPr>
        <w:tc>
          <w:tcPr>
            <w:tcW w:type="dxa" w:w="7560"/>
            <w:shd w:fill="17365D"/>
            <w:tcMar>
              <w:top w:w="90" w:type="dxa"/>
              <w:start w:w="90" w:type="dxa"/>
              <w:bottom w:w="90" w:type="dxa"/>
              <w:end w:w="90" w:type="dxa"/>
            </w:tcMar>
          </w:tcPr>
          <w:p>
            <w:pPr>
              <w:spacing w:after="0"/>
            </w:pPr>
            <w:r>
              <w:rPr>
                <w:rFonts w:ascii="Aptos" w:hAnsi="Aptos"/>
                <w:b/>
                <w:color w:val="FFFFFF"/>
                <w:sz w:val="14"/>
              </w:rPr>
              <w:t>Recipient</w:t>
            </w:r>
          </w:p>
        </w:tc>
        <w:tc>
          <w:tcPr>
            <w:tcW w:type="dxa" w:w="2304"/>
            <w:shd w:fill="17365D"/>
            <w:tcMar>
              <w:top w:w="90" w:type="dxa"/>
              <w:start w:w="90" w:type="dxa"/>
              <w:bottom w:w="90" w:type="dxa"/>
              <w:end w:w="90" w:type="dxa"/>
            </w:tcMar>
          </w:tcPr>
          <w:p>
            <w:pPr>
              <w:spacing w:after="0"/>
            </w:pPr>
            <w:r>
              <w:rPr>
                <w:rFonts w:ascii="Aptos" w:hAnsi="Aptos"/>
                <w:b/>
                <w:color w:val="FFFFFF"/>
                <w:sz w:val="14"/>
              </w:rPr>
              <w:t>Four-year allocation</w:t>
            </w:r>
          </w:p>
        </w:tc>
      </w:tr>
      <w:tr>
        <w:trPr>
          <w:cantSplit/>
        </w:trPr>
        <w:tc>
          <w:tcPr>
            <w:tcW w:type="dxa" w:w="756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519Pursuit Umbrella Relief Programs Inc.</w:t>
            </w:r>
          </w:p>
        </w:tc>
        <w:tc>
          <w:tcPr>
            <w:tcW w:type="dxa" w:w="2304"/>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$45,760</w:t>
            </w:r>
          </w:p>
        </w:tc>
      </w:tr>
      <w:tr>
        <w:trPr>
          <w:cantSplit/>
        </w:trPr>
        <w:tc>
          <w:tcPr>
            <w:tcW w:type="dxa" w:w="756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Anova</w:t>
            </w:r>
          </w:p>
        </w:tc>
        <w:tc>
          <w:tcPr>
            <w:tcW w:type="dxa" w:w="2304"/>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$188,000</w:t>
            </w:r>
          </w:p>
        </w:tc>
      </w:tr>
      <w:tr>
        <w:trPr>
          <w:cantSplit/>
        </w:trPr>
        <w:tc>
          <w:tcPr>
            <w:tcW w:type="dxa" w:w="756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Atlohsa Family Healing Services</w:t>
            </w:r>
          </w:p>
        </w:tc>
        <w:tc>
          <w:tcPr>
            <w:tcW w:type="dxa" w:w="2304"/>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$560,000</w:t>
            </w:r>
          </w:p>
        </w:tc>
      </w:tr>
      <w:tr>
        <w:trPr>
          <w:cantSplit/>
        </w:trPr>
        <w:tc>
          <w:tcPr>
            <w:tcW w:type="dxa" w:w="756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Big Brothers Big Sisters of London and Area</w:t>
            </w:r>
          </w:p>
        </w:tc>
        <w:tc>
          <w:tcPr>
            <w:tcW w:type="dxa" w:w="2304"/>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$160,000</w:t>
            </w:r>
          </w:p>
        </w:tc>
      </w:tr>
      <w:tr>
        <w:trPr>
          <w:cantSplit/>
        </w:trPr>
        <w:tc>
          <w:tcPr>
            <w:tcW w:type="dxa" w:w="756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Boys' &amp; Girls' Club of London</w:t>
            </w:r>
          </w:p>
        </w:tc>
        <w:tc>
          <w:tcPr>
            <w:tcW w:type="dxa" w:w="2304"/>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$1,200,000</w:t>
            </w:r>
          </w:p>
        </w:tc>
      </w:tr>
      <w:tr>
        <w:trPr>
          <w:cantSplit/>
        </w:trPr>
        <w:tc>
          <w:tcPr>
            <w:tcW w:type="dxa" w:w="756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Changing Ways</w:t>
            </w:r>
          </w:p>
        </w:tc>
        <w:tc>
          <w:tcPr>
            <w:tcW w:type="dxa" w:w="2304"/>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$200,000</w:t>
            </w:r>
          </w:p>
        </w:tc>
      </w:tr>
      <w:tr>
        <w:trPr>
          <w:cantSplit/>
        </w:trPr>
        <w:tc>
          <w:tcPr>
            <w:tcW w:type="dxa" w:w="756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Crouch Neighbourhood Resource Centre</w:t>
            </w:r>
          </w:p>
        </w:tc>
        <w:tc>
          <w:tcPr>
            <w:tcW w:type="dxa" w:w="2304"/>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$320,000</w:t>
            </w:r>
          </w:p>
        </w:tc>
      </w:tr>
      <w:tr>
        <w:trPr>
          <w:cantSplit/>
        </w:trPr>
        <w:tc>
          <w:tcPr>
            <w:tcW w:type="dxa" w:w="756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Glen Cairn Community Resource Centre</w:t>
            </w:r>
          </w:p>
        </w:tc>
        <w:tc>
          <w:tcPr>
            <w:tcW w:type="dxa" w:w="2304"/>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$240,000</w:t>
            </w:r>
          </w:p>
        </w:tc>
      </w:tr>
      <w:tr>
        <w:trPr>
          <w:cantSplit/>
        </w:trPr>
        <w:tc>
          <w:tcPr>
            <w:tcW w:type="dxa" w:w="756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Growing Chefs! Ontario</w:t>
            </w:r>
          </w:p>
        </w:tc>
        <w:tc>
          <w:tcPr>
            <w:tcW w:type="dxa" w:w="2304"/>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$180,000</w:t>
            </w:r>
          </w:p>
        </w:tc>
      </w:tr>
      <w:tr>
        <w:trPr>
          <w:cantSplit/>
        </w:trPr>
        <w:tc>
          <w:tcPr>
            <w:tcW w:type="dxa" w:w="756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L'Arche London</w:t>
            </w:r>
          </w:p>
        </w:tc>
        <w:tc>
          <w:tcPr>
            <w:tcW w:type="dxa" w:w="2304"/>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$102,000</w:t>
            </w:r>
          </w:p>
        </w:tc>
      </w:tr>
      <w:tr>
        <w:trPr>
          <w:cantSplit/>
        </w:trPr>
        <w:tc>
          <w:tcPr>
            <w:tcW w:type="dxa" w:w="756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Learning Disabilities Association of London Region</w:t>
            </w:r>
          </w:p>
        </w:tc>
        <w:tc>
          <w:tcPr>
            <w:tcW w:type="dxa" w:w="2304"/>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$60,000</w:t>
            </w:r>
          </w:p>
        </w:tc>
      </w:tr>
      <w:tr>
        <w:trPr>
          <w:cantSplit/>
        </w:trPr>
        <w:tc>
          <w:tcPr>
            <w:tcW w:type="dxa" w:w="756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LOLA (London Ontario Learning Apiary) Organization</w:t>
            </w:r>
          </w:p>
        </w:tc>
        <w:tc>
          <w:tcPr>
            <w:tcW w:type="dxa" w:w="2304"/>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$40,000</w:t>
            </w:r>
          </w:p>
        </w:tc>
      </w:tr>
      <w:tr>
        <w:trPr>
          <w:cantSplit/>
        </w:trPr>
        <w:tc>
          <w:tcPr>
            <w:tcW w:type="dxa" w:w="756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London &amp; Middlesex Heritage Museum</w:t>
            </w:r>
          </w:p>
        </w:tc>
        <w:tc>
          <w:tcPr>
            <w:tcW w:type="dxa" w:w="2304"/>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$500,000</w:t>
            </w:r>
          </w:p>
        </w:tc>
      </w:tr>
      <w:tr>
        <w:trPr>
          <w:cantSplit/>
        </w:trPr>
        <w:tc>
          <w:tcPr>
            <w:tcW w:type="dxa" w:w="756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London Abused Women's Centre</w:t>
            </w:r>
          </w:p>
        </w:tc>
        <w:tc>
          <w:tcPr>
            <w:tcW w:type="dxa" w:w="2304"/>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$164,800</w:t>
            </w:r>
          </w:p>
        </w:tc>
      </w:tr>
      <w:tr>
        <w:trPr>
          <w:cantSplit/>
        </w:trPr>
        <w:tc>
          <w:tcPr>
            <w:tcW w:type="dxa" w:w="756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London Children's Museum</w:t>
            </w:r>
          </w:p>
        </w:tc>
        <w:tc>
          <w:tcPr>
            <w:tcW w:type="dxa" w:w="2304"/>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$400,000</w:t>
            </w:r>
          </w:p>
        </w:tc>
      </w:tr>
      <w:tr>
        <w:trPr>
          <w:cantSplit/>
        </w:trPr>
        <w:tc>
          <w:tcPr>
            <w:tcW w:type="dxa" w:w="756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London Community Chaplaincy</w:t>
            </w:r>
          </w:p>
        </w:tc>
        <w:tc>
          <w:tcPr>
            <w:tcW w:type="dxa" w:w="2304"/>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$200,000</w:t>
            </w:r>
          </w:p>
        </w:tc>
      </w:tr>
      <w:tr>
        <w:trPr>
          <w:cantSplit/>
        </w:trPr>
        <w:tc>
          <w:tcPr>
            <w:tcW w:type="dxa" w:w="756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London Cycle Link Association</w:t>
            </w:r>
          </w:p>
        </w:tc>
        <w:tc>
          <w:tcPr>
            <w:tcW w:type="dxa" w:w="2304"/>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$120,000</w:t>
            </w:r>
          </w:p>
        </w:tc>
      </w:tr>
      <w:tr>
        <w:trPr>
          <w:cantSplit/>
        </w:trPr>
        <w:tc>
          <w:tcPr>
            <w:tcW w:type="dxa" w:w="756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London Environmental Network</w:t>
            </w:r>
          </w:p>
        </w:tc>
        <w:tc>
          <w:tcPr>
            <w:tcW w:type="dxa" w:w="2304"/>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$170,000</w:t>
            </w:r>
          </w:p>
        </w:tc>
      </w:tr>
      <w:tr>
        <w:trPr>
          <w:cantSplit/>
        </w:trPr>
        <w:tc>
          <w:tcPr>
            <w:tcW w:type="dxa" w:w="756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London Food Coalition</w:t>
            </w:r>
          </w:p>
        </w:tc>
        <w:tc>
          <w:tcPr>
            <w:tcW w:type="dxa" w:w="2304"/>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$100,000</w:t>
            </w:r>
          </w:p>
        </w:tc>
      </w:tr>
      <w:tr>
        <w:trPr>
          <w:cantSplit/>
        </w:trPr>
        <w:tc>
          <w:tcPr>
            <w:tcW w:type="dxa" w:w="756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Low Income Family Empowerment / LIFE*SPIN</w:t>
            </w:r>
          </w:p>
        </w:tc>
        <w:tc>
          <w:tcPr>
            <w:tcW w:type="dxa" w:w="2304"/>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$104,000</w:t>
            </w:r>
          </w:p>
        </w:tc>
      </w:tr>
      <w:tr>
        <w:trPr>
          <w:cantSplit/>
        </w:trPr>
        <w:tc>
          <w:tcPr>
            <w:tcW w:type="dxa" w:w="756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LUSO Community Services</w:t>
            </w:r>
          </w:p>
        </w:tc>
        <w:tc>
          <w:tcPr>
            <w:tcW w:type="dxa" w:w="2304"/>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$320,000</w:t>
            </w:r>
          </w:p>
        </w:tc>
      </w:tr>
      <w:tr>
        <w:trPr>
          <w:cantSplit/>
        </w:trPr>
        <w:tc>
          <w:tcPr>
            <w:tcW w:type="dxa" w:w="756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Meals on Wheels London</w:t>
            </w:r>
          </w:p>
        </w:tc>
        <w:tc>
          <w:tcPr>
            <w:tcW w:type="dxa" w:w="2304"/>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$80,000</w:t>
            </w:r>
          </w:p>
        </w:tc>
      </w:tr>
      <w:tr>
        <w:trPr>
          <w:cantSplit/>
        </w:trPr>
        <w:tc>
          <w:tcPr>
            <w:tcW w:type="dxa" w:w="756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Museum of Ontario Archaeology</w:t>
            </w:r>
          </w:p>
        </w:tc>
        <w:tc>
          <w:tcPr>
            <w:tcW w:type="dxa" w:w="2304"/>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$200,000</w:t>
            </w:r>
          </w:p>
        </w:tc>
      </w:tr>
      <w:tr>
        <w:trPr>
          <w:cantSplit/>
        </w:trPr>
        <w:tc>
          <w:tcPr>
            <w:tcW w:type="dxa" w:w="756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Muslim Resource Centre for Social Support &amp; Integration</w:t>
            </w:r>
          </w:p>
        </w:tc>
        <w:tc>
          <w:tcPr>
            <w:tcW w:type="dxa" w:w="2304"/>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$400,000</w:t>
            </w:r>
          </w:p>
        </w:tc>
      </w:tr>
      <w:tr>
        <w:trPr>
          <w:cantSplit/>
        </w:trPr>
        <w:tc>
          <w:tcPr>
            <w:tcW w:type="dxa" w:w="756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Nokee Kwe</w:t>
            </w:r>
          </w:p>
        </w:tc>
        <w:tc>
          <w:tcPr>
            <w:tcW w:type="dxa" w:w="2304"/>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$170,000</w:t>
            </w:r>
          </w:p>
        </w:tc>
      </w:tr>
      <w:tr>
        <w:trPr>
          <w:cantSplit/>
        </w:trPr>
        <w:tc>
          <w:tcPr>
            <w:tcW w:type="dxa" w:w="756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Northwest London Resource Centre</w:t>
            </w:r>
          </w:p>
        </w:tc>
        <w:tc>
          <w:tcPr>
            <w:tcW w:type="dxa" w:w="2304"/>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$320,000</w:t>
            </w:r>
          </w:p>
        </w:tc>
      </w:tr>
      <w:tr>
        <w:trPr>
          <w:cantSplit/>
        </w:trPr>
        <w:tc>
          <w:tcPr>
            <w:tcW w:type="dxa" w:w="756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Now for Tomorrow: South Sudanese Wellness Network</w:t>
            </w:r>
          </w:p>
        </w:tc>
        <w:tc>
          <w:tcPr>
            <w:tcW w:type="dxa" w:w="2304"/>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$140,000</w:t>
            </w:r>
          </w:p>
        </w:tc>
      </w:tr>
      <w:tr>
        <w:trPr>
          <w:cantSplit/>
        </w:trPr>
        <w:tc>
          <w:tcPr>
            <w:tcW w:type="dxa" w:w="756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Progressive Animal Welfare Services</w:t>
            </w:r>
          </w:p>
        </w:tc>
        <w:tc>
          <w:tcPr>
            <w:tcW w:type="dxa" w:w="2304"/>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$60,000</w:t>
            </w:r>
          </w:p>
        </w:tc>
      </w:tr>
      <w:tr>
        <w:trPr>
          <w:cantSplit/>
        </w:trPr>
        <w:tc>
          <w:tcPr>
            <w:tcW w:type="dxa" w:w="756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ReForest London</w:t>
            </w:r>
          </w:p>
        </w:tc>
        <w:tc>
          <w:tcPr>
            <w:tcW w:type="dxa" w:w="2304"/>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$240,000</w:t>
            </w:r>
          </w:p>
        </w:tc>
      </w:tr>
      <w:tr>
        <w:trPr>
          <w:cantSplit/>
        </w:trPr>
        <w:tc>
          <w:tcPr>
            <w:tcW w:type="dxa" w:w="756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South London Neighbourhood Resource Centre</w:t>
            </w:r>
          </w:p>
        </w:tc>
        <w:tc>
          <w:tcPr>
            <w:tcW w:type="dxa" w:w="2304"/>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$480,000</w:t>
            </w:r>
          </w:p>
        </w:tc>
      </w:tr>
      <w:tr>
        <w:trPr>
          <w:cantSplit/>
        </w:trPr>
        <w:tc>
          <w:tcPr>
            <w:tcW w:type="dxa" w:w="756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Southwest Ontario Aboriginal Health Access Centre</w:t>
            </w:r>
          </w:p>
        </w:tc>
        <w:tc>
          <w:tcPr>
            <w:tcW w:type="dxa" w:w="2304"/>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$356,700</w:t>
            </w:r>
          </w:p>
        </w:tc>
      </w:tr>
      <w:tr>
        <w:trPr>
          <w:cantSplit/>
        </w:trPr>
        <w:tc>
          <w:tcPr>
            <w:tcW w:type="dxa" w:w="756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St. John The Baptist Melkite Catholic Church</w:t>
            </w:r>
          </w:p>
        </w:tc>
        <w:tc>
          <w:tcPr>
            <w:tcW w:type="dxa" w:w="2304"/>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$60,000</w:t>
            </w:r>
          </w:p>
        </w:tc>
      </w:tr>
      <w:tr>
        <w:trPr>
          <w:cantSplit/>
        </w:trPr>
        <w:tc>
          <w:tcPr>
            <w:tcW w:type="dxa" w:w="756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St. Mark's (Diocese of Huron)</w:t>
            </w:r>
          </w:p>
        </w:tc>
        <w:tc>
          <w:tcPr>
            <w:tcW w:type="dxa" w:w="2304"/>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$8,740</w:t>
            </w:r>
          </w:p>
        </w:tc>
      </w:tr>
      <w:tr>
        <w:trPr>
          <w:cantSplit/>
        </w:trPr>
        <w:tc>
          <w:tcPr>
            <w:tcW w:type="dxa" w:w="756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Thames Talbot Land Trust</w:t>
            </w:r>
          </w:p>
        </w:tc>
        <w:tc>
          <w:tcPr>
            <w:tcW w:type="dxa" w:w="2304"/>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$120,000</w:t>
            </w:r>
          </w:p>
        </w:tc>
      </w:tr>
      <w:tr>
        <w:trPr>
          <w:cantSplit/>
        </w:trPr>
        <w:tc>
          <w:tcPr>
            <w:tcW w:type="dxa" w:w="756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The N'Amerind Friendship Centre</w:t>
            </w:r>
          </w:p>
        </w:tc>
        <w:tc>
          <w:tcPr>
            <w:tcW w:type="dxa" w:w="2304"/>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$240,000</w:t>
            </w:r>
          </w:p>
        </w:tc>
      </w:tr>
      <w:tr>
        <w:trPr>
          <w:cantSplit/>
        </w:trPr>
        <w:tc>
          <w:tcPr>
            <w:tcW w:type="dxa" w:w="756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The Reimagine Institute for Community Sustainability</w:t>
            </w:r>
          </w:p>
        </w:tc>
        <w:tc>
          <w:tcPr>
            <w:tcW w:type="dxa" w:w="2304"/>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$96,000</w:t>
            </w:r>
          </w:p>
        </w:tc>
      </w:tr>
      <w:tr>
        <w:trPr>
          <w:cantSplit/>
        </w:trPr>
        <w:tc>
          <w:tcPr>
            <w:tcW w:type="dxa" w:w="756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Type Diabeat It</w:t>
            </w:r>
          </w:p>
        </w:tc>
        <w:tc>
          <w:tcPr>
            <w:tcW w:type="dxa" w:w="2304"/>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$56,000</w:t>
            </w:r>
          </w:p>
        </w:tc>
      </w:tr>
      <w:tr>
        <w:trPr>
          <w:cantSplit/>
        </w:trPr>
        <w:tc>
          <w:tcPr>
            <w:tcW w:type="dxa" w:w="756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University Students' Council, Western University</w:t>
            </w:r>
          </w:p>
        </w:tc>
        <w:tc>
          <w:tcPr>
            <w:tcW w:type="dxa" w:w="2304"/>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$38,000</w:t>
            </w:r>
          </w:p>
        </w:tc>
      </w:tr>
      <w:tr>
        <w:trPr>
          <w:cantSplit/>
        </w:trPr>
        <w:tc>
          <w:tcPr>
            <w:tcW w:type="dxa" w:w="756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Urban Roots London</w:t>
            </w:r>
          </w:p>
        </w:tc>
        <w:tc>
          <w:tcPr>
            <w:tcW w:type="dxa" w:w="2304"/>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$120,000</w:t>
            </w:r>
          </w:p>
        </w:tc>
      </w:tr>
      <w:tr>
        <w:trPr>
          <w:cantSplit/>
        </w:trPr>
        <w:tc>
          <w:tcPr>
            <w:tcW w:type="dxa" w:w="756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WeBridge Community Services</w:t>
            </w:r>
          </w:p>
        </w:tc>
        <w:tc>
          <w:tcPr>
            <w:tcW w:type="dxa" w:w="2304"/>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$120,000</w:t>
            </w:r>
          </w:p>
        </w:tc>
      </w:tr>
      <w:tr>
        <w:trPr>
          <w:cantSplit/>
        </w:trPr>
        <w:tc>
          <w:tcPr>
            <w:tcW w:type="dxa" w:w="756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WIL Counselling and Training for Employment / Immploy</w:t>
            </w:r>
          </w:p>
        </w:tc>
        <w:tc>
          <w:tcPr>
            <w:tcW w:type="dxa" w:w="2304"/>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$200,000</w:t>
            </w:r>
          </w:p>
        </w:tc>
      </w:tr>
      <w:tr>
        <w:trPr>
          <w:cantSplit/>
        </w:trPr>
        <w:tc>
          <w:tcPr>
            <w:tcW w:type="dxa" w:w="756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Youth Opportunities Unlimited</w:t>
            </w:r>
          </w:p>
        </w:tc>
        <w:tc>
          <w:tcPr>
            <w:tcW w:type="dxa" w:w="2304"/>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$320,000</w:t>
            </w:r>
          </w:p>
        </w:tc>
      </w:tr>
      <w:tr>
        <w:trPr>
          <w:cantSplit/>
        </w:trPr>
        <w:tc>
          <w:tcPr>
            <w:tcW w:type="dxa" w:w="756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TOTAL — 42 recipients</w:t>
            </w:r>
          </w:p>
        </w:tc>
        <w:tc>
          <w:tcPr>
            <w:tcW w:type="dxa" w:w="2304"/>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$9,200,000</w:t>
            </w:r>
          </w:p>
        </w:tc>
      </w:tr>
    </w:tbl>
    <w:p>
      <w:pPr>
        <w:spacing w:after="0"/>
      </w:pPr>
    </w:p>
    <w:p>
      <w:pPr>
        <w:pStyle w:val="Heading2"/>
      </w:pPr>
      <w:r>
        <w:t>8.2 MNP control findings and current status</w:t>
      </w:r>
    </w:p>
    <w:tbl>
      <w:tblPr>
        <w:tblW w:type="auto" w:w="0"/>
        <w:jc w:val="center"/>
        <w:tblLayout w:type="fixed"/>
        <w:tblLook w:firstColumn="1" w:firstRow="1" w:lastColumn="0" w:lastRow="0" w:noHBand="0" w:noVBand="1" w:val="04A0"/>
      </w:tblPr>
      <w:tblGrid>
        <w:gridCol w:w="2527"/>
        <w:gridCol w:w="2527"/>
        <w:gridCol w:w="2527"/>
        <w:gridCol w:w="2527"/>
      </w:tblGrid>
      <w:tr>
        <w:trPr>
          <w:tblHeader w:val="true"/>
        </w:trPr>
        <w:tc>
          <w:tcPr>
            <w:tcW w:type="dxa" w:w="3240"/>
            <w:shd w:fill="17365D"/>
            <w:tcMar>
              <w:top w:w="90" w:type="dxa"/>
              <w:start w:w="90" w:type="dxa"/>
              <w:bottom w:w="90" w:type="dxa"/>
              <w:end w:w="90" w:type="dxa"/>
            </w:tcMar>
          </w:tcPr>
          <w:p>
            <w:pPr>
              <w:spacing w:after="0"/>
            </w:pPr>
            <w:r>
              <w:rPr>
                <w:rFonts w:ascii="Aptos" w:hAnsi="Aptos"/>
                <w:b/>
                <w:color w:val="FFFFFF"/>
                <w:sz w:val="14"/>
              </w:rPr>
              <w:t>Observation</w:t>
            </w:r>
          </w:p>
        </w:tc>
        <w:tc>
          <w:tcPr>
            <w:tcW w:type="dxa" w:w="2016"/>
            <w:shd w:fill="17365D"/>
            <w:tcMar>
              <w:top w:w="90" w:type="dxa"/>
              <w:start w:w="90" w:type="dxa"/>
              <w:bottom w:w="90" w:type="dxa"/>
              <w:end w:w="90" w:type="dxa"/>
            </w:tcMar>
          </w:tcPr>
          <w:p>
            <w:pPr>
              <w:spacing w:after="0"/>
            </w:pPr>
            <w:r>
              <w:rPr>
                <w:rFonts w:ascii="Aptos" w:hAnsi="Aptos"/>
                <w:b/>
                <w:color w:val="FFFFFF"/>
                <w:sz w:val="14"/>
              </w:rPr>
              <w:t>Risk</w:t>
            </w:r>
          </w:p>
        </w:tc>
        <w:tc>
          <w:tcPr>
            <w:tcW w:type="dxa" w:w="3168"/>
            <w:shd w:fill="17365D"/>
            <w:tcMar>
              <w:top w:w="90" w:type="dxa"/>
              <w:start w:w="90" w:type="dxa"/>
              <w:bottom w:w="90" w:type="dxa"/>
              <w:end w:w="90" w:type="dxa"/>
            </w:tcMar>
          </w:tcPr>
          <w:p>
            <w:pPr>
              <w:spacing w:after="0"/>
            </w:pPr>
            <w:r>
              <w:rPr>
                <w:rFonts w:ascii="Aptos" w:hAnsi="Aptos"/>
                <w:b/>
                <w:color w:val="FFFFFF"/>
                <w:sz w:val="14"/>
              </w:rPr>
              <w:t>Management action</w:t>
            </w:r>
          </w:p>
        </w:tc>
        <w:tc>
          <w:tcPr>
            <w:tcW w:type="dxa" w:w="1512"/>
            <w:shd w:fill="17365D"/>
            <w:tcMar>
              <w:top w:w="90" w:type="dxa"/>
              <w:start w:w="90" w:type="dxa"/>
              <w:bottom w:w="90" w:type="dxa"/>
              <w:end w:w="90" w:type="dxa"/>
            </w:tcMar>
          </w:tcPr>
          <w:p>
            <w:pPr>
              <w:spacing w:after="0"/>
            </w:pPr>
            <w:r>
              <w:rPr>
                <w:rFonts w:ascii="Aptos" w:hAnsi="Aptos"/>
                <w:b/>
                <w:color w:val="FFFFFF"/>
                <w:sz w:val="14"/>
              </w:rPr>
              <w:t>Due / status</w:t>
            </w:r>
          </w:p>
        </w:tc>
      </w:tr>
      <w:tr>
        <w:trPr>
          <w:cantSplit/>
        </w:trPr>
        <w:tc>
          <w:tcPr>
            <w:tcW w:type="dxa" w:w="324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No documented threshold or criteria translates final application scores into funding amounts; project viability is considered for partial awards.</w:t>
            </w:r>
          </w:p>
        </w:tc>
        <w:tc>
          <w:tcPr>
            <w:tcW w:type="dxa" w:w="2016"/>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Inconsistent awards or perceived subjectivity.</w:t>
            </w:r>
          </w:p>
        </w:tc>
        <w:tc>
          <w:tcPr>
            <w:tcW w:type="dxa" w:w="3168"/>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Enhance administrative procedures and bring changes through the comprehensive review.</w:t>
            </w:r>
          </w:p>
        </w:tc>
        <w:tc>
          <w:tcPr>
            <w:tcW w:type="dxa" w:w="1512"/>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Q4 2027 · On track; procedures enhanced for 2026 annual stream.</w:t>
            </w:r>
          </w:p>
        </w:tc>
      </w:tr>
      <w:tr>
        <w:trPr>
          <w:cantSplit/>
        </w:trPr>
        <w:tc>
          <w:tcPr>
            <w:tcW w:type="dxa" w:w="324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No mandatory requirement for panel members to enter scoring rationale in SmartSimple; strategic areas may overlap other City funding.</w:t>
            </w:r>
          </w:p>
        </w:tc>
        <w:tc>
          <w:tcPr>
            <w:tcW w:type="dxa" w:w="2016"/>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Missing audit trail, appeal difficulty, possible crowd-out.</w:t>
            </w:r>
          </w:p>
        </w:tc>
        <w:tc>
          <w:tcPr>
            <w:tcW w:type="dxa" w:w="3168"/>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Require/strengthen rationale and consider targeted support where no other municipal source exists.</w:t>
            </w:r>
          </w:p>
        </w:tc>
        <w:tc>
          <w:tcPr>
            <w:tcW w:type="dxa" w:w="1512"/>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Q4 2027 · On track.</w:t>
            </w:r>
          </w:p>
        </w:tc>
      </w:tr>
    </w:tbl>
    <w:p>
      <w:pPr>
        <w:spacing w:after="0"/>
      </w:pPr>
    </w:p>
    <w:p>
      <w:pPr>
        <w:spacing w:before="40" w:after="100"/>
      </w:pPr>
      <w:r>
        <w:rPr>
          <w:rFonts w:ascii="Aptos" w:hAnsi="Aptos"/>
          <w:b/>
          <w:color w:val="2166A5"/>
          <w:sz w:val="14"/>
        </w:rPr>
        <w:t xml:space="preserve">SOURCE LOCK  </w:t>
      </w:r>
      <w:r>
        <w:rPr>
          <w:rFonts w:ascii="Aptos" w:hAnsi="Aptos"/>
          <w:b/>
          <w:color w:val="182433"/>
          <w:sz w:val="14"/>
        </w:rPr>
        <w:t>S16, S24</w:t>
      </w:r>
    </w:p>
    <w:p>
      <w:pPr>
        <w:pStyle w:val="Heading2"/>
      </w:pPr>
      <w:r>
        <w:t>8.3 2025 annual stream — complete list</w:t>
      </w:r>
    </w:p>
    <w:tbl>
      <w:tblPr>
        <w:tblW w:type="auto" w:w="0"/>
        <w:jc w:val="center"/>
        <w:tblLayout w:type="fixed"/>
        <w:tblLook w:firstColumn="1" w:firstRow="1" w:lastColumn="0" w:lastRow="0" w:noHBand="0" w:noVBand="1" w:val="04A0"/>
      </w:tblPr>
      <w:tblGrid>
        <w:gridCol w:w="3369"/>
        <w:gridCol w:w="3369"/>
        <w:gridCol w:w="3369"/>
      </w:tblGrid>
      <w:tr>
        <w:trPr>
          <w:tblHeader w:val="true"/>
        </w:trPr>
        <w:tc>
          <w:tcPr>
            <w:tcW w:type="dxa" w:w="5256"/>
            <w:shd w:fill="17365D"/>
            <w:tcMar>
              <w:top w:w="90" w:type="dxa"/>
              <w:start w:w="90" w:type="dxa"/>
              <w:bottom w:w="90" w:type="dxa"/>
              <w:end w:w="90" w:type="dxa"/>
            </w:tcMar>
          </w:tcPr>
          <w:p>
            <w:pPr>
              <w:spacing w:after="0"/>
            </w:pPr>
            <w:r>
              <w:rPr>
                <w:rFonts w:ascii="Aptos" w:hAnsi="Aptos"/>
                <w:b/>
                <w:color w:val="FFFFFF"/>
                <w:sz w:val="14"/>
              </w:rPr>
              <w:t>Organization</w:t>
            </w:r>
          </w:p>
        </w:tc>
        <w:tc>
          <w:tcPr>
            <w:tcW w:type="dxa" w:w="2448"/>
            <w:shd w:fill="17365D"/>
            <w:tcMar>
              <w:top w:w="90" w:type="dxa"/>
              <w:start w:w="90" w:type="dxa"/>
              <w:bottom w:w="90" w:type="dxa"/>
              <w:end w:w="90" w:type="dxa"/>
            </w:tcMar>
          </w:tcPr>
          <w:p>
            <w:pPr>
              <w:spacing w:after="0"/>
            </w:pPr>
            <w:r>
              <w:rPr>
                <w:rFonts w:ascii="Aptos" w:hAnsi="Aptos"/>
                <w:b/>
                <w:color w:val="FFFFFF"/>
                <w:sz w:val="14"/>
              </w:rPr>
              <w:t>Stream</w:t>
            </w:r>
          </w:p>
        </w:tc>
        <w:tc>
          <w:tcPr>
            <w:tcW w:type="dxa" w:w="1656"/>
            <w:shd w:fill="17365D"/>
            <w:tcMar>
              <w:top w:w="90" w:type="dxa"/>
              <w:start w:w="90" w:type="dxa"/>
              <w:bottom w:w="90" w:type="dxa"/>
              <w:end w:w="90" w:type="dxa"/>
            </w:tcMar>
          </w:tcPr>
          <w:p>
            <w:pPr>
              <w:spacing w:after="0"/>
            </w:pPr>
            <w:r>
              <w:rPr>
                <w:rFonts w:ascii="Aptos" w:hAnsi="Aptos"/>
                <w:b/>
                <w:color w:val="FFFFFF"/>
                <w:sz w:val="14"/>
              </w:rPr>
              <w:t>Allocation</w:t>
            </w:r>
          </w:p>
        </w:tc>
      </w:tr>
      <w:tr>
        <w:trPr>
          <w:cantSplit/>
        </w:trPr>
        <w:tc>
          <w:tcPr>
            <w:tcW w:type="dxa" w:w="5256"/>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Urban Roots London</w:t>
            </w:r>
          </w:p>
        </w:tc>
        <w:tc>
          <w:tcPr>
            <w:tcW w:type="dxa" w:w="2448"/>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Capital</w:t>
            </w:r>
          </w:p>
        </w:tc>
        <w:tc>
          <w:tcPr>
            <w:tcW w:type="dxa" w:w="1656"/>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$37,890</w:t>
            </w:r>
          </w:p>
        </w:tc>
      </w:tr>
      <w:tr>
        <w:trPr>
          <w:cantSplit/>
        </w:trPr>
        <w:tc>
          <w:tcPr>
            <w:tcW w:type="dxa" w:w="5256"/>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London Environmental Network</w:t>
            </w:r>
          </w:p>
        </w:tc>
        <w:tc>
          <w:tcPr>
            <w:tcW w:type="dxa" w:w="2448"/>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Innovation</w:t>
            </w:r>
          </w:p>
        </w:tc>
        <w:tc>
          <w:tcPr>
            <w:tcW w:type="dxa" w:w="1656"/>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$25,580</w:t>
            </w:r>
          </w:p>
        </w:tc>
      </w:tr>
      <w:tr>
        <w:trPr>
          <w:cantSplit/>
        </w:trPr>
        <w:tc>
          <w:tcPr>
            <w:tcW w:type="dxa" w:w="5256"/>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Boomerz Boxing</w:t>
            </w:r>
          </w:p>
        </w:tc>
        <w:tc>
          <w:tcPr>
            <w:tcW w:type="dxa" w:w="2448"/>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Grassroots</w:t>
            </w:r>
          </w:p>
        </w:tc>
        <w:tc>
          <w:tcPr>
            <w:tcW w:type="dxa" w:w="1656"/>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$28,420</w:t>
            </w:r>
          </w:p>
        </w:tc>
      </w:tr>
      <w:tr>
        <w:trPr>
          <w:cantSplit/>
        </w:trPr>
        <w:tc>
          <w:tcPr>
            <w:tcW w:type="dxa" w:w="5256"/>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Queer Intersections</w:t>
            </w:r>
          </w:p>
        </w:tc>
        <w:tc>
          <w:tcPr>
            <w:tcW w:type="dxa" w:w="2448"/>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Grassroots — year 2</w:t>
            </w:r>
          </w:p>
        </w:tc>
        <w:tc>
          <w:tcPr>
            <w:tcW w:type="dxa" w:w="1656"/>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$28,420</w:t>
            </w:r>
          </w:p>
        </w:tc>
      </w:tr>
      <w:tr>
        <w:trPr>
          <w:cantSplit/>
        </w:trPr>
        <w:tc>
          <w:tcPr>
            <w:tcW w:type="dxa" w:w="5256"/>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London InterCommunity Health Centre</w:t>
            </w:r>
          </w:p>
        </w:tc>
        <w:tc>
          <w:tcPr>
            <w:tcW w:type="dxa" w:w="2448"/>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Innovation</w:t>
            </w:r>
          </w:p>
        </w:tc>
        <w:tc>
          <w:tcPr>
            <w:tcW w:type="dxa" w:w="1656"/>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$22,450</w:t>
            </w:r>
          </w:p>
        </w:tc>
      </w:tr>
      <w:tr>
        <w:trPr>
          <w:cantSplit/>
        </w:trPr>
        <w:tc>
          <w:tcPr>
            <w:tcW w:type="dxa" w:w="5256"/>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AfroBiome Foods Incorporated</w:t>
            </w:r>
          </w:p>
        </w:tc>
        <w:tc>
          <w:tcPr>
            <w:tcW w:type="dxa" w:w="2448"/>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Grassroots</w:t>
            </w:r>
          </w:p>
        </w:tc>
        <w:tc>
          <w:tcPr>
            <w:tcW w:type="dxa" w:w="1656"/>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$22,830</w:t>
            </w:r>
          </w:p>
        </w:tc>
      </w:tr>
      <w:tr>
        <w:trPr>
          <w:cantSplit/>
        </w:trPr>
        <w:tc>
          <w:tcPr>
            <w:tcW w:type="dxa" w:w="5256"/>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Youth Coalition Combating Islamophobia</w:t>
            </w:r>
          </w:p>
        </w:tc>
        <w:tc>
          <w:tcPr>
            <w:tcW w:type="dxa" w:w="2448"/>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Grassroots</w:t>
            </w:r>
          </w:p>
        </w:tc>
        <w:tc>
          <w:tcPr>
            <w:tcW w:type="dxa" w:w="1656"/>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$14,210</w:t>
            </w:r>
          </w:p>
        </w:tc>
      </w:tr>
      <w:tr>
        <w:trPr>
          <w:cantSplit/>
        </w:trPr>
        <w:tc>
          <w:tcPr>
            <w:tcW w:type="dxa" w:w="5256"/>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The Iraqi Canadian Society</w:t>
            </w:r>
          </w:p>
        </w:tc>
        <w:tc>
          <w:tcPr>
            <w:tcW w:type="dxa" w:w="2448"/>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Innovation</w:t>
            </w:r>
          </w:p>
        </w:tc>
        <w:tc>
          <w:tcPr>
            <w:tcW w:type="dxa" w:w="1656"/>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$10,680</w:t>
            </w:r>
          </w:p>
        </w:tc>
      </w:tr>
      <w:tr>
        <w:trPr>
          <w:cantSplit/>
        </w:trPr>
        <w:tc>
          <w:tcPr>
            <w:tcW w:type="dxa" w:w="5256"/>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Cameroon Association of London Ontario</w:t>
            </w:r>
          </w:p>
        </w:tc>
        <w:tc>
          <w:tcPr>
            <w:tcW w:type="dxa" w:w="2448"/>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Innovation</w:t>
            </w:r>
          </w:p>
        </w:tc>
        <w:tc>
          <w:tcPr>
            <w:tcW w:type="dxa" w:w="1656"/>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$12,000</w:t>
            </w:r>
          </w:p>
        </w:tc>
      </w:tr>
      <w:tr>
        <w:trPr>
          <w:cantSplit/>
        </w:trPr>
        <w:tc>
          <w:tcPr>
            <w:tcW w:type="dxa" w:w="5256"/>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Jazz Association of London ON</w:t>
            </w:r>
          </w:p>
        </w:tc>
        <w:tc>
          <w:tcPr>
            <w:tcW w:type="dxa" w:w="2448"/>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Innovation</w:t>
            </w:r>
          </w:p>
        </w:tc>
        <w:tc>
          <w:tcPr>
            <w:tcW w:type="dxa" w:w="1656"/>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$10,620</w:t>
            </w:r>
          </w:p>
        </w:tc>
      </w:tr>
      <w:tr>
        <w:trPr>
          <w:cantSplit/>
        </w:trPr>
        <w:tc>
          <w:tcPr>
            <w:tcW w:type="dxa" w:w="5256"/>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BlendIN</w:t>
            </w:r>
          </w:p>
        </w:tc>
        <w:tc>
          <w:tcPr>
            <w:tcW w:type="dxa" w:w="2448"/>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Grassroots</w:t>
            </w:r>
          </w:p>
        </w:tc>
        <w:tc>
          <w:tcPr>
            <w:tcW w:type="dxa" w:w="1656"/>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$10,000</w:t>
            </w:r>
          </w:p>
        </w:tc>
      </w:tr>
      <w:tr>
        <w:trPr>
          <w:cantSplit/>
        </w:trPr>
        <w:tc>
          <w:tcPr>
            <w:tcW w:type="dxa" w:w="5256"/>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Black Community Employment &amp; Empowerment Service</w:t>
            </w:r>
          </w:p>
        </w:tc>
        <w:tc>
          <w:tcPr>
            <w:tcW w:type="dxa" w:w="2448"/>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Innovation</w:t>
            </w:r>
          </w:p>
        </w:tc>
        <w:tc>
          <w:tcPr>
            <w:tcW w:type="dxa" w:w="1656"/>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$10,000</w:t>
            </w:r>
          </w:p>
        </w:tc>
      </w:tr>
      <w:tr>
        <w:trPr>
          <w:cantSplit/>
        </w:trPr>
        <w:tc>
          <w:tcPr>
            <w:tcW w:type="dxa" w:w="5256"/>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Wortley Pride</w:t>
            </w:r>
          </w:p>
        </w:tc>
        <w:tc>
          <w:tcPr>
            <w:tcW w:type="dxa" w:w="2448"/>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Grassroots</w:t>
            </w:r>
          </w:p>
        </w:tc>
        <w:tc>
          <w:tcPr>
            <w:tcW w:type="dxa" w:w="1656"/>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$3,900</w:t>
            </w:r>
          </w:p>
        </w:tc>
      </w:tr>
      <w:tr>
        <w:trPr>
          <w:cantSplit/>
        </w:trPr>
        <w:tc>
          <w:tcPr>
            <w:tcW w:type="dxa" w:w="5256"/>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Kensington Village Association</w:t>
            </w:r>
          </w:p>
        </w:tc>
        <w:tc>
          <w:tcPr>
            <w:tcW w:type="dxa" w:w="2448"/>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Grassroots — year 2</w:t>
            </w:r>
          </w:p>
        </w:tc>
        <w:tc>
          <w:tcPr>
            <w:tcW w:type="dxa" w:w="1656"/>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$5,000</w:t>
            </w:r>
          </w:p>
        </w:tc>
      </w:tr>
      <w:tr>
        <w:trPr>
          <w:cantSplit/>
        </w:trPr>
        <w:tc>
          <w:tcPr>
            <w:tcW w:type="dxa" w:w="5256"/>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AEL FC Canada</w:t>
            </w:r>
          </w:p>
        </w:tc>
        <w:tc>
          <w:tcPr>
            <w:tcW w:type="dxa" w:w="2448"/>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Innovation</w:t>
            </w:r>
          </w:p>
        </w:tc>
        <w:tc>
          <w:tcPr>
            <w:tcW w:type="dxa" w:w="1656"/>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$5,000</w:t>
            </w:r>
          </w:p>
        </w:tc>
      </w:tr>
      <w:tr>
        <w:trPr>
          <w:cantSplit/>
        </w:trPr>
        <w:tc>
          <w:tcPr>
            <w:tcW w:type="dxa" w:w="5256"/>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Pollinator Pathways Project</w:t>
            </w:r>
          </w:p>
        </w:tc>
        <w:tc>
          <w:tcPr>
            <w:tcW w:type="dxa" w:w="2448"/>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Grassroots</w:t>
            </w:r>
          </w:p>
        </w:tc>
        <w:tc>
          <w:tcPr>
            <w:tcW w:type="dxa" w:w="1656"/>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$3,000</w:t>
            </w:r>
          </w:p>
        </w:tc>
      </w:tr>
      <w:tr>
        <w:trPr>
          <w:cantSplit/>
        </w:trPr>
        <w:tc>
          <w:tcPr>
            <w:tcW w:type="dxa" w:w="5256"/>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TOTAL — 16 organizations</w:t>
            </w:r>
          </w:p>
        </w:tc>
        <w:tc>
          <w:tcPr>
            <w:tcW w:type="dxa" w:w="2448"/>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r>
          </w:p>
        </w:tc>
        <w:tc>
          <w:tcPr>
            <w:tcW w:type="dxa" w:w="1656"/>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$250,000</w:t>
            </w:r>
          </w:p>
        </w:tc>
      </w:tr>
    </w:tbl>
    <w:p>
      <w:pPr>
        <w:spacing w:after="0"/>
      </w:pPr>
    </w:p>
    <w:p>
      <w:pPr>
        <w:spacing w:before="40" w:after="100"/>
      </w:pPr>
      <w:r>
        <w:rPr>
          <w:rFonts w:ascii="Aptos" w:hAnsi="Aptos"/>
          <w:b/>
          <w:color w:val="2166A5"/>
          <w:sz w:val="14"/>
        </w:rPr>
        <w:t xml:space="preserve">SOURCE LOCK  </w:t>
      </w:r>
      <w:r>
        <w:rPr>
          <w:rFonts w:ascii="Aptos" w:hAnsi="Aptos"/>
          <w:b/>
          <w:color w:val="182433"/>
          <w:sz w:val="14"/>
        </w:rPr>
        <w:t>S14</w:t>
      </w:r>
    </w:p>
    <w:p>
      <w:pPr>
        <w:pStyle w:val="Heading2"/>
      </w:pPr>
      <w:r>
        <w:t>8.4 CIP incentive sample and remaining boundary</w:t>
      </w:r>
    </w:p>
    <w:tbl>
      <w:tblPr>
        <w:tblW w:type="auto" w:w="0"/>
        <w:jc w:val="center"/>
        <w:tblLayout w:type="fixed"/>
        <w:tblLook w:firstColumn="1" w:firstRow="1" w:lastColumn="0" w:lastRow="0" w:noHBand="0" w:noVBand="1" w:val="04A0"/>
      </w:tblPr>
      <w:tblGrid>
        <w:gridCol w:w="2527"/>
        <w:gridCol w:w="2527"/>
        <w:gridCol w:w="2527"/>
        <w:gridCol w:w="2527"/>
      </w:tblGrid>
      <w:tr>
        <w:trPr>
          <w:tblHeader w:val="true"/>
        </w:trPr>
        <w:tc>
          <w:tcPr>
            <w:tcW w:type="dxa" w:w="2664"/>
            <w:shd w:fill="17365D"/>
            <w:tcMar>
              <w:top w:w="90" w:type="dxa"/>
              <w:start w:w="90" w:type="dxa"/>
              <w:bottom w:w="90" w:type="dxa"/>
              <w:end w:w="90" w:type="dxa"/>
            </w:tcMar>
          </w:tcPr>
          <w:p>
            <w:pPr>
              <w:spacing w:after="0"/>
            </w:pPr>
            <w:r>
              <w:rPr>
                <w:rFonts w:ascii="Aptos" w:hAnsi="Aptos"/>
                <w:b/>
                <w:color w:val="FFFFFF"/>
                <w:sz w:val="14"/>
              </w:rPr>
              <w:t>Recipient</w:t>
            </w:r>
          </w:p>
        </w:tc>
        <w:tc>
          <w:tcPr>
            <w:tcW w:type="dxa" w:w="3168"/>
            <w:shd w:fill="17365D"/>
            <w:tcMar>
              <w:top w:w="90" w:type="dxa"/>
              <w:start w:w="90" w:type="dxa"/>
              <w:bottom w:w="90" w:type="dxa"/>
              <w:end w:w="90" w:type="dxa"/>
            </w:tcMar>
          </w:tcPr>
          <w:p>
            <w:pPr>
              <w:spacing w:after="0"/>
            </w:pPr>
            <w:r>
              <w:rPr>
                <w:rFonts w:ascii="Aptos" w:hAnsi="Aptos"/>
                <w:b/>
                <w:color w:val="FFFFFF"/>
                <w:sz w:val="14"/>
              </w:rPr>
              <w:t>Program</w:t>
            </w:r>
          </w:p>
        </w:tc>
        <w:tc>
          <w:tcPr>
            <w:tcW w:type="dxa" w:w="1440"/>
            <w:shd w:fill="17365D"/>
            <w:tcMar>
              <w:top w:w="90" w:type="dxa"/>
              <w:start w:w="90" w:type="dxa"/>
              <w:bottom w:w="90" w:type="dxa"/>
              <w:end w:w="90" w:type="dxa"/>
            </w:tcMar>
          </w:tcPr>
          <w:p>
            <w:pPr>
              <w:spacing w:after="0"/>
            </w:pPr>
            <w:r>
              <w:rPr>
                <w:rFonts w:ascii="Aptos" w:hAnsi="Aptos"/>
                <w:b/>
                <w:color w:val="FFFFFF"/>
                <w:sz w:val="14"/>
              </w:rPr>
              <w:t>Amount</w:t>
            </w:r>
          </w:p>
        </w:tc>
        <w:tc>
          <w:tcPr>
            <w:tcW w:type="dxa" w:w="2592"/>
            <w:shd w:fill="17365D"/>
            <w:tcMar>
              <w:top w:w="90" w:type="dxa"/>
              <w:start w:w="90" w:type="dxa"/>
              <w:bottom w:w="90" w:type="dxa"/>
              <w:end w:w="90" w:type="dxa"/>
            </w:tcMar>
          </w:tcPr>
          <w:p>
            <w:pPr>
              <w:spacing w:after="0"/>
            </w:pPr>
            <w:r>
              <w:rPr>
                <w:rFonts w:ascii="Aptos" w:hAnsi="Aptos"/>
                <w:b/>
                <w:color w:val="FFFFFF"/>
                <w:sz w:val="14"/>
              </w:rPr>
              <w:t>Verified status</w:t>
            </w:r>
          </w:p>
        </w:tc>
      </w:tr>
      <w:tr>
        <w:trPr>
          <w:cantSplit/>
        </w:trPr>
        <w:tc>
          <w:tcPr>
            <w:tcW w:type="dxa" w:w="2664"/>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LJM Developments (London) Inc.</w:t>
            </w:r>
          </w:p>
        </w:tc>
        <w:tc>
          <w:tcPr>
            <w:tcW w:type="dxa" w:w="3168"/>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Brownfield CIP — 359 Wellington Rd.</w:t>
            </w:r>
          </w:p>
        </w:tc>
        <w:tc>
          <w:tcPr>
            <w:tcW w:type="dxa" w:w="144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$2,100,000</w:t>
            </w:r>
          </w:p>
        </w:tc>
        <w:tc>
          <w:tcPr>
            <w:tcW w:type="dxa" w:w="2592"/>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Approved Feb. 19, 2025; conditions precede payment.</w:t>
            </w:r>
          </w:p>
        </w:tc>
      </w:tr>
      <w:tr>
        <w:trPr>
          <w:cantSplit/>
        </w:trPr>
        <w:tc>
          <w:tcPr>
            <w:tcW w:type="dxa" w:w="2664"/>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Youth Opportunities Unlimited</w:t>
            </w:r>
          </w:p>
        </w:tc>
        <w:tc>
          <w:tcPr>
            <w:tcW w:type="dxa" w:w="3168"/>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Residential DC grant — 340 Richmond St.</w:t>
            </w:r>
          </w:p>
        </w:tc>
        <w:tc>
          <w:tcPr>
            <w:tcW w:type="dxa" w:w="144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$14,895</w:t>
            </w:r>
          </w:p>
        </w:tc>
        <w:tc>
          <w:tcPr>
            <w:tcW w:type="dxa" w:w="2592"/>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Council directed processing Oct. 27, 2020; payment not independently verified.</w:t>
            </w:r>
          </w:p>
        </w:tc>
      </w:tr>
    </w:tbl>
    <w:p>
      <w:pPr>
        <w:spacing w:after="0"/>
      </w:pPr>
    </w:p>
    <w:tbl>
      <w:tblPr>
        <w:tblW w:type="auto" w:w="0"/>
        <w:jc w:val="center"/>
        <w:tblLayout w:type="fixed"/>
        <w:tblLook w:firstColumn="1" w:firstRow="1" w:lastColumn="0" w:lastRow="0" w:noHBand="0" w:noVBand="1" w:val="04A0"/>
      </w:tblPr>
      <w:tblGrid>
        <w:gridCol w:w="115"/>
        <w:gridCol w:w="9648"/>
      </w:tblGrid>
      <w:tr>
        <w:tc>
          <w:tcPr>
            <w:tcW w:type="dxa" w:w="5054"/>
            <w:shd w:fill="B36A00"/>
            <w:tcMar>
              <w:top w:w="0" w:type="dxa"/>
              <w:start w:w="0" w:type="dxa"/>
              <w:bottom w:w="0" w:type="dxa"/>
              <w:end w:w="0" w:type="dxa"/>
            </w:tcMar>
          </w:tcPr>
          <w:p/>
        </w:tc>
        <w:tc>
          <w:tcPr>
            <w:tcW w:type="dxa" w:w="5054"/>
            <w:shd w:fill="FFF1D6"/>
            <w:tcMar>
              <w:top w:w="130" w:type="dxa"/>
              <w:start w:w="160" w:type="dxa"/>
              <w:bottom w:w="130" w:type="dxa"/>
              <w:end w:w="160" w:type="dxa"/>
            </w:tcMar>
            <w:tcBorders>
              <w:top w:val="single" w:sz="4" w:color="CBD6E0"/>
              <w:bottom w:val="single" w:sz="4" w:color="CBD6E0"/>
              <w:right w:val="single" w:sz="4" w:color="CBD6E0"/>
            </w:tcBorders>
          </w:tcPr>
          <w:p>
            <w:pPr>
              <w:spacing w:after="60"/>
            </w:pPr>
            <w:r>
              <w:rPr>
                <w:rFonts w:ascii="Aptos" w:hAnsi="Aptos"/>
                <w:b/>
                <w:color w:val="B36A00"/>
                <w:sz w:val="18"/>
              </w:rPr>
              <w:t>CIP status</w:t>
            </w:r>
          </w:p>
          <w:p>
            <w:pPr>
              <w:spacing w:after="0" w:line="252" w:lineRule="auto"/>
            </w:pPr>
            <w:r>
              <w:t>The public sample is verified but not a complete beneficiary ledger. Request R6 seeks all approvals, payments, conditions, outputs, closeout and clawback status, including Office-to-Residential and other HAF-adjacent incentives.</w:t>
            </w:r>
          </w:p>
        </w:tc>
      </w:tr>
    </w:tbl>
    <w:p>
      <w:pPr>
        <w:spacing w:after="0"/>
      </w:pPr>
    </w:p>
    <w:p>
      <w:pPr>
        <w:spacing w:before="40" w:after="100"/>
      </w:pPr>
      <w:r>
        <w:rPr>
          <w:rFonts w:ascii="Aptos" w:hAnsi="Aptos"/>
          <w:b/>
          <w:color w:val="2166A5"/>
          <w:sz w:val="14"/>
        </w:rPr>
        <w:t xml:space="preserve">SOURCE LOCK  </w:t>
      </w:r>
      <w:r>
        <w:rPr>
          <w:rFonts w:ascii="Aptos" w:hAnsi="Aptos"/>
          <w:b/>
          <w:color w:val="182433"/>
          <w:sz w:val="14"/>
        </w:rPr>
        <w:t>S29, S30, R6</w:t>
      </w:r>
    </w:p>
    <w:p>
      <w:pPr>
        <w:spacing w:after="60"/>
      </w:pPr>
      <w:r>
        <w:rPr>
          <w:rFonts w:ascii="Aptos" w:hAnsi="Aptos"/>
          <w:b/>
          <w:color w:val="2166A5"/>
          <w:sz w:val="16"/>
        </w:rPr>
        <w:t>PART 9</w:t>
      </w:r>
    </w:p>
    <w:p>
      <w:pPr>
        <w:pStyle w:val="Heading1"/>
      </w:pPr>
      <w:r>
        <w:t>Service-specific performance modules</w:t>
      </w:r>
    </w:p>
    <w:p>
      <w:pPr>
        <w:pStyle w:val="Heading2"/>
      </w:pPr>
      <w:r>
        <w:t>9.1 Transit — built</w:t>
      </w:r>
    </w:p>
    <w:tbl>
      <w:tblPr>
        <w:tblW w:type="auto" w:w="0"/>
        <w:jc w:val="center"/>
        <w:tblLayout w:type="fixed"/>
        <w:tblLook w:firstColumn="1" w:firstRow="1" w:lastColumn="0" w:lastRow="0" w:noHBand="0" w:noVBand="1" w:val="04A0"/>
      </w:tblPr>
      <w:tblGrid>
        <w:gridCol w:w="3369"/>
        <w:gridCol w:w="3369"/>
        <w:gridCol w:w="3369"/>
      </w:tblGrid>
      <w:tr>
        <w:tc>
          <w:tcPr>
            <w:tcW w:type="dxa" w:w="3288"/>
            <w:shd w:fill="EFF5F9"/>
            <w:tcMar>
              <w:top w:w="130" w:type="dxa"/>
              <w:start w:w="120" w:type="dxa"/>
              <w:bottom w:w="120" w:type="dxa"/>
              <w:end w:w="120" w:type="dxa"/>
            </w:tcMar>
            <w:tcBorders>
              <w:top w:val="single" w:sz="8" w:color="17365D"/>
              <w:left w:val="single" w:sz="3" w:color="CBD6E0"/>
              <w:bottom w:val="single" w:sz="3" w:color="CBD6E0"/>
              <w:right w:val="single" w:sz="3" w:color="CBD6E0"/>
            </w:tcBorders>
          </w:tcPr>
          <w:p>
            <w:pPr>
              <w:jc w:val="center"/>
            </w:pPr>
            <w:r>
              <w:rPr>
                <w:rFonts w:ascii="Aptos Display" w:hAnsi="Aptos Display"/>
                <w:b/>
                <w:color w:val="17365D"/>
                <w:sz w:val="34"/>
              </w:rPr>
              <w:t>17.5M</w:t>
            </w:r>
          </w:p>
          <w:p>
            <w:pPr>
              <w:spacing w:after="40"/>
              <w:jc w:val="center"/>
            </w:pPr>
            <w:r>
              <w:rPr>
                <w:rFonts w:ascii="Aptos" w:hAnsi="Aptos"/>
                <w:b/>
                <w:color w:val="182433"/>
                <w:sz w:val="16"/>
              </w:rPr>
              <w:t>2025 conventional rides</w:t>
            </w:r>
          </w:p>
          <w:p>
            <w:pPr>
              <w:spacing w:after="0"/>
              <w:jc w:val="center"/>
            </w:pPr>
            <w:r>
              <w:rPr>
                <w:rFonts w:ascii="Aptos" w:hAnsi="Aptos"/>
                <w:color w:val="5E6B78"/>
                <w:sz w:val="14"/>
              </w:rPr>
              <w:t>Down from 2024 peak</w:t>
            </w:r>
          </w:p>
        </w:tc>
        <w:tc>
          <w:tcPr>
            <w:tcW w:type="dxa" w:w="3288"/>
            <w:shd w:fill="EFF5F9"/>
            <w:tcMar>
              <w:top w:w="130" w:type="dxa"/>
              <w:start w:w="120" w:type="dxa"/>
              <w:bottom w:w="120" w:type="dxa"/>
              <w:end w:w="120" w:type="dxa"/>
            </w:tcMar>
            <w:tcBorders>
              <w:top w:val="single" w:sz="8" w:color="2166A5"/>
              <w:left w:val="single" w:sz="3" w:color="CBD6E0"/>
              <w:bottom w:val="single" w:sz="3" w:color="CBD6E0"/>
              <w:right w:val="single" w:sz="3" w:color="CBD6E0"/>
            </w:tcBorders>
          </w:tcPr>
          <w:p>
            <w:pPr>
              <w:jc w:val="center"/>
            </w:pPr>
            <w:r>
              <w:rPr>
                <w:rFonts w:ascii="Aptos Display" w:hAnsi="Aptos Display"/>
                <w:b/>
                <w:color w:val="2166A5"/>
                <w:sz w:val="34"/>
              </w:rPr>
              <w:t>24.4</w:t>
            </w:r>
          </w:p>
          <w:p>
            <w:pPr>
              <w:spacing w:after="40"/>
              <w:jc w:val="center"/>
            </w:pPr>
            <w:r>
              <w:rPr>
                <w:rFonts w:ascii="Aptos" w:hAnsi="Aptos"/>
                <w:b/>
                <w:color w:val="182433"/>
                <w:sz w:val="16"/>
              </w:rPr>
              <w:t>rides / service hour</w:t>
            </w:r>
          </w:p>
          <w:p>
            <w:pPr>
              <w:spacing w:after="0"/>
              <w:jc w:val="center"/>
            </w:pPr>
            <w:r>
              <w:rPr>
                <w:rFonts w:ascii="Aptos" w:hAnsi="Aptos"/>
                <w:color w:val="5E6B78"/>
                <w:sz w:val="14"/>
              </w:rPr>
              <w:t>2025 conventional</w:t>
            </w:r>
          </w:p>
        </w:tc>
        <w:tc>
          <w:tcPr>
            <w:tcW w:type="dxa" w:w="3288"/>
            <w:shd w:fill="EFF5F9"/>
            <w:tcMar>
              <w:top w:w="130" w:type="dxa"/>
              <w:start w:w="120" w:type="dxa"/>
              <w:bottom w:w="120" w:type="dxa"/>
              <w:end w:w="120" w:type="dxa"/>
            </w:tcMar>
            <w:tcBorders>
              <w:top w:val="single" w:sz="8" w:color="B36A00"/>
              <w:left w:val="single" w:sz="3" w:color="CBD6E0"/>
              <w:bottom w:val="single" w:sz="3" w:color="CBD6E0"/>
              <w:right w:val="single" w:sz="3" w:color="CBD6E0"/>
            </w:tcBorders>
          </w:tcPr>
          <w:p>
            <w:pPr>
              <w:jc w:val="center"/>
            </w:pPr>
            <w:r>
              <w:rPr>
                <w:rFonts w:ascii="Aptos Display" w:hAnsi="Aptos Display"/>
                <w:b/>
                <w:color w:val="B36A00"/>
                <w:sz w:val="34"/>
              </w:rPr>
              <w:t>46%</w:t>
            </w:r>
          </w:p>
          <w:p>
            <w:pPr>
              <w:spacing w:after="40"/>
              <w:jc w:val="center"/>
            </w:pPr>
            <w:r>
              <w:rPr>
                <w:rFonts w:ascii="Aptos" w:hAnsi="Aptos"/>
                <w:b/>
                <w:color w:val="182433"/>
                <w:sz w:val="16"/>
              </w:rPr>
              <w:t>on-time satisfaction</w:t>
            </w:r>
          </w:p>
          <w:p>
            <w:pPr>
              <w:spacing w:after="0"/>
              <w:jc w:val="center"/>
            </w:pPr>
            <w:r>
              <w:rPr>
                <w:rFonts w:ascii="Aptos" w:hAnsi="Aptos"/>
                <w:color w:val="5E6B78"/>
                <w:sz w:val="14"/>
              </w:rPr>
              <w:t>Highest-priority attribute</w:t>
            </w:r>
          </w:p>
        </w:tc>
      </w:tr>
    </w:tbl>
    <w:p>
      <w:pPr>
        <w:spacing w:after="0"/>
      </w:pPr>
    </w:p>
    <w:p>
      <w:pPr>
        <w:spacing w:after="100"/>
      </w:pPr>
      <w:r>
        <w:t>LTC reports that all 2025 ridership metrics fell short of budget, primarily because tuition-pass enrollment declined more than anticipated. Conventional service added 18,000 hours (+2.5%) and overall satisfaction was 68%. The 2025 operating program was about $118 million; actual funding shares were 55% City, 38% transportation/operating revenue and 7% provincial gas tax.</w:t>
      </w:r>
    </w:p>
    <w:tbl>
      <w:tblPr>
        <w:tblW w:type="auto" w:w="0"/>
        <w:jc w:val="center"/>
        <w:tblLayout w:type="fixed"/>
        <w:tblLook w:firstColumn="1" w:firstRow="1" w:lastColumn="0" w:lastRow="0" w:noHBand="0" w:noVBand="1" w:val="04A0"/>
      </w:tblPr>
      <w:tblGrid>
        <w:gridCol w:w="3369"/>
        <w:gridCol w:w="3369"/>
        <w:gridCol w:w="3369"/>
      </w:tblGrid>
      <w:tr>
        <w:trPr>
          <w:tblHeader w:val="true"/>
        </w:trPr>
        <w:tc>
          <w:tcPr>
            <w:tcW w:type="dxa" w:w="2520"/>
            <w:shd w:fill="17365D"/>
            <w:tcMar>
              <w:top w:w="90" w:type="dxa"/>
              <w:start w:w="90" w:type="dxa"/>
              <w:bottom w:w="90" w:type="dxa"/>
              <w:end w:w="90" w:type="dxa"/>
            </w:tcMar>
          </w:tcPr>
          <w:p>
            <w:pPr>
              <w:spacing w:after="0"/>
            </w:pPr>
            <w:r>
              <w:rPr>
                <w:rFonts w:ascii="Aptos" w:hAnsi="Aptos"/>
                <w:b/>
                <w:color w:val="FFFFFF"/>
                <w:sz w:val="14"/>
              </w:rPr>
              <w:t>Metric</w:t>
            </w:r>
          </w:p>
        </w:tc>
        <w:tc>
          <w:tcPr>
            <w:tcW w:type="dxa" w:w="1800"/>
            <w:shd w:fill="17365D"/>
            <w:tcMar>
              <w:top w:w="90" w:type="dxa"/>
              <w:start w:w="90" w:type="dxa"/>
              <w:bottom w:w="90" w:type="dxa"/>
              <w:end w:w="90" w:type="dxa"/>
            </w:tcMar>
          </w:tcPr>
          <w:p>
            <w:pPr>
              <w:spacing w:after="0"/>
            </w:pPr>
            <w:r>
              <w:rPr>
                <w:rFonts w:ascii="Aptos" w:hAnsi="Aptos"/>
                <w:b/>
                <w:color w:val="FFFFFF"/>
                <w:sz w:val="14"/>
              </w:rPr>
              <w:t>2025 LTC</w:t>
            </w:r>
          </w:p>
        </w:tc>
        <w:tc>
          <w:tcPr>
            <w:tcW w:type="dxa" w:w="5400"/>
            <w:shd w:fill="17365D"/>
            <w:tcMar>
              <w:top w:w="90" w:type="dxa"/>
              <w:start w:w="90" w:type="dxa"/>
              <w:bottom w:w="90" w:type="dxa"/>
              <w:end w:w="90" w:type="dxa"/>
            </w:tcMar>
          </w:tcPr>
          <w:p>
            <w:pPr>
              <w:spacing w:after="0"/>
            </w:pPr>
            <w:r>
              <w:rPr>
                <w:rFonts w:ascii="Aptos" w:hAnsi="Aptos"/>
                <w:b/>
                <w:color w:val="FFFFFF"/>
                <w:sz w:val="14"/>
              </w:rPr>
              <w:t>Comparator / interpretation</w:t>
            </w:r>
          </w:p>
        </w:tc>
      </w:tr>
      <w:tr>
        <w:trPr>
          <w:cantSplit/>
        </w:trPr>
        <w:tc>
          <w:tcPr>
            <w:tcW w:type="dxa" w:w="252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Conventional ridership</w:t>
            </w:r>
          </w:p>
        </w:tc>
        <w:tc>
          <w:tcPr>
            <w:tcW w:type="dxa" w:w="180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17.5M</w:t>
            </w:r>
          </w:p>
        </w:tc>
        <w:tc>
          <w:tcPr>
            <w:tcW w:type="dxa" w:w="540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2024 peer average 13.2M; LTC ranked 5th in 2024.</w:t>
            </w:r>
          </w:p>
        </w:tc>
      </w:tr>
      <w:tr>
        <w:trPr>
          <w:cantSplit/>
        </w:trPr>
        <w:tc>
          <w:tcPr>
            <w:tcW w:type="dxa" w:w="252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Rides per capita</w:t>
            </w:r>
          </w:p>
        </w:tc>
        <w:tc>
          <w:tcPr>
            <w:tcW w:type="dxa" w:w="180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38.2</w:t>
            </w:r>
          </w:p>
        </w:tc>
        <w:tc>
          <w:tcPr>
            <w:tcW w:type="dxa" w:w="540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Flat/slight decline signals service/ridership not keeping pace with population.</w:t>
            </w:r>
          </w:p>
        </w:tc>
      </w:tr>
      <w:tr>
        <w:trPr>
          <w:cantSplit/>
        </w:trPr>
        <w:tc>
          <w:tcPr>
            <w:tcW w:type="dxa" w:w="252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Rides per service hour</w:t>
            </w:r>
          </w:p>
        </w:tc>
        <w:tc>
          <w:tcPr>
            <w:tcW w:type="dxa" w:w="180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24.4</w:t>
            </w:r>
          </w:p>
        </w:tc>
        <w:tc>
          <w:tcPr>
            <w:tcW w:type="dxa" w:w="540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2024 peer average 25.0; LTC ranked 6th.</w:t>
            </w:r>
          </w:p>
        </w:tc>
      </w:tr>
      <w:tr>
        <w:trPr>
          <w:cantSplit/>
        </w:trPr>
        <w:tc>
          <w:tcPr>
            <w:tcW w:type="dxa" w:w="252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Operating cost per ride</w:t>
            </w:r>
          </w:p>
        </w:tc>
        <w:tc>
          <w:tcPr>
            <w:tcW w:type="dxa" w:w="180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$5.62</w:t>
            </w:r>
          </w:p>
        </w:tc>
        <w:tc>
          <w:tcPr>
            <w:tcW w:type="dxa" w:w="540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2024 peer average $6.05.</w:t>
            </w:r>
          </w:p>
        </w:tc>
      </w:tr>
      <w:tr>
        <w:trPr>
          <w:cantSplit/>
        </w:trPr>
        <w:tc>
          <w:tcPr>
            <w:tcW w:type="dxa" w:w="252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Municipal cost per ride</w:t>
            </w:r>
          </w:p>
        </w:tc>
        <w:tc>
          <w:tcPr>
            <w:tcW w:type="dxa" w:w="180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$2.75</w:t>
            </w:r>
          </w:p>
        </w:tc>
        <w:tc>
          <w:tcPr>
            <w:tcW w:type="dxa" w:w="540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2024 peer average $3.81.</w:t>
            </w:r>
          </w:p>
        </w:tc>
      </w:tr>
      <w:tr>
        <w:trPr>
          <w:cantSplit/>
        </w:trPr>
        <w:tc>
          <w:tcPr>
            <w:tcW w:type="dxa" w:w="252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Specialized ridership</w:t>
            </w:r>
          </w:p>
        </w:tc>
        <w:tc>
          <w:tcPr>
            <w:tcW w:type="dxa" w:w="180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356,667</w:t>
            </w:r>
          </w:p>
        </w:tc>
        <w:tc>
          <w:tcPr>
            <w:tcW w:type="dxa" w:w="540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6.0% below budget; 1.9 rides/hour vs 2.0 budget.</w:t>
            </w:r>
          </w:p>
        </w:tc>
      </w:tr>
      <w:tr>
        <w:trPr>
          <w:cantSplit/>
        </w:trPr>
        <w:tc>
          <w:tcPr>
            <w:tcW w:type="dxa" w:w="252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Specialized satisfaction</w:t>
            </w:r>
          </w:p>
        </w:tc>
        <w:tc>
          <w:tcPr>
            <w:tcW w:type="dxa" w:w="180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96% overall</w:t>
            </w:r>
          </w:p>
        </w:tc>
        <w:tc>
          <w:tcPr>
            <w:tcW w:type="dxa" w:w="540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All listed service characteristics ≥80%.</w:t>
            </w:r>
          </w:p>
        </w:tc>
      </w:tr>
      <w:tr>
        <w:trPr>
          <w:cantSplit/>
        </w:trPr>
        <w:tc>
          <w:tcPr>
            <w:tcW w:type="dxa" w:w="252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Deferred 2025 capital</w:t>
            </w:r>
          </w:p>
        </w:tc>
        <w:tc>
          <w:tcPr>
            <w:tcW w:type="dxa" w:w="180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$33.9M</w:t>
            </w:r>
          </w:p>
        </w:tc>
        <w:tc>
          <w:tcPr>
            <w:tcW w:type="dxa" w:w="540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Highbury $5.0M, zero-emission pilot $26.0M, fleet radio $0.6M carried forward.</w:t>
            </w:r>
          </w:p>
        </w:tc>
      </w:tr>
    </w:tbl>
    <w:p>
      <w:pPr>
        <w:spacing w:after="0"/>
      </w:pPr>
    </w:p>
    <w:p>
      <w:pPr>
        <w:spacing w:before="40" w:after="100"/>
      </w:pPr>
      <w:r>
        <w:rPr>
          <w:rFonts w:ascii="Aptos" w:hAnsi="Aptos"/>
          <w:b/>
          <w:color w:val="2166A5"/>
          <w:sz w:val="14"/>
        </w:rPr>
        <w:t xml:space="preserve">SOURCE LOCK  </w:t>
      </w:r>
      <w:r>
        <w:rPr>
          <w:rFonts w:ascii="Aptos" w:hAnsi="Aptos"/>
          <w:b/>
          <w:color w:val="182433"/>
          <w:sz w:val="14"/>
        </w:rPr>
        <w:t>S31</w:t>
      </w:r>
    </w:p>
    <w:p>
      <w:pPr>
        <w:pStyle w:val="Heading2"/>
      </w:pPr>
      <w:r>
        <w:t>9.2 Police — built</w:t>
      </w:r>
    </w:p>
    <w:tbl>
      <w:tblPr>
        <w:tblW w:type="auto" w:w="0"/>
        <w:jc w:val="center"/>
        <w:tblLayout w:type="fixed"/>
        <w:tblLook w:firstColumn="1" w:firstRow="1" w:lastColumn="0" w:lastRow="0" w:noHBand="0" w:noVBand="1" w:val="04A0"/>
      </w:tblPr>
      <w:tblGrid>
        <w:gridCol w:w="3369"/>
        <w:gridCol w:w="3369"/>
        <w:gridCol w:w="3369"/>
      </w:tblGrid>
      <w:tr>
        <w:tc>
          <w:tcPr>
            <w:tcW w:type="dxa" w:w="3288"/>
            <w:shd w:fill="EFF5F9"/>
            <w:tcMar>
              <w:top w:w="130" w:type="dxa"/>
              <w:start w:w="120" w:type="dxa"/>
              <w:bottom w:w="120" w:type="dxa"/>
              <w:end w:w="120" w:type="dxa"/>
            </w:tcMar>
            <w:tcBorders>
              <w:top w:val="single" w:sz="8" w:color="17365D"/>
              <w:left w:val="single" w:sz="3" w:color="CBD6E0"/>
              <w:bottom w:val="single" w:sz="3" w:color="CBD6E0"/>
              <w:right w:val="single" w:sz="3" w:color="CBD6E0"/>
            </w:tcBorders>
          </w:tcPr>
          <w:p>
            <w:pPr>
              <w:jc w:val="center"/>
            </w:pPr>
            <w:r>
              <w:rPr>
                <w:rFonts w:ascii="Aptos Display" w:hAnsi="Aptos Display"/>
                <w:b/>
                <w:color w:val="17365D"/>
                <w:sz w:val="34"/>
              </w:rPr>
              <w:t>$186.7M</w:t>
            </w:r>
          </w:p>
          <w:p>
            <w:pPr>
              <w:spacing w:after="40"/>
              <w:jc w:val="center"/>
            </w:pPr>
            <w:r>
              <w:rPr>
                <w:rFonts w:ascii="Aptos" w:hAnsi="Aptos"/>
                <w:b/>
                <w:color w:val="182433"/>
                <w:sz w:val="16"/>
              </w:rPr>
              <w:t>2025 net cost</w:t>
            </w:r>
          </w:p>
          <w:p>
            <w:pPr>
              <w:spacing w:after="0"/>
              <w:jc w:val="center"/>
            </w:pPr>
            <w:r>
              <w:rPr>
                <w:rFonts w:ascii="Aptos" w:hAnsi="Aptos"/>
                <w:color w:val="5E6B78"/>
                <w:sz w:val="14"/>
              </w:rPr>
              <w:t>In line with approved budget</w:t>
            </w:r>
          </w:p>
        </w:tc>
        <w:tc>
          <w:tcPr>
            <w:tcW w:type="dxa" w:w="3288"/>
            <w:shd w:fill="EFF5F9"/>
            <w:tcMar>
              <w:top w:w="130" w:type="dxa"/>
              <w:start w:w="120" w:type="dxa"/>
              <w:bottom w:w="120" w:type="dxa"/>
              <w:end w:w="120" w:type="dxa"/>
            </w:tcMar>
            <w:tcBorders>
              <w:top w:val="single" w:sz="8" w:color="2166A5"/>
              <w:left w:val="single" w:sz="3" w:color="CBD6E0"/>
              <w:bottom w:val="single" w:sz="3" w:color="CBD6E0"/>
              <w:right w:val="single" w:sz="3" w:color="CBD6E0"/>
            </w:tcBorders>
          </w:tcPr>
          <w:p>
            <w:pPr>
              <w:jc w:val="center"/>
            </w:pPr>
            <w:r>
              <w:rPr>
                <w:rFonts w:ascii="Aptos Display" w:hAnsi="Aptos Display"/>
                <w:b/>
                <w:color w:val="2166A5"/>
                <w:sz w:val="34"/>
              </w:rPr>
              <w:t>238,293</w:t>
            </w:r>
          </w:p>
          <w:p>
            <w:pPr>
              <w:spacing w:after="40"/>
              <w:jc w:val="center"/>
            </w:pPr>
            <w:r>
              <w:rPr>
                <w:rFonts w:ascii="Aptos" w:hAnsi="Aptos"/>
                <w:b/>
                <w:color w:val="182433"/>
                <w:sz w:val="16"/>
              </w:rPr>
              <w:t>9-1-1 calls answered</w:t>
            </w:r>
          </w:p>
          <w:p>
            <w:pPr>
              <w:spacing w:after="0"/>
              <w:jc w:val="center"/>
            </w:pPr>
            <w:r>
              <w:rPr>
                <w:rFonts w:ascii="Aptos" w:hAnsi="Aptos"/>
                <w:color w:val="5E6B78"/>
                <w:sz w:val="14"/>
              </w:rPr>
              <w:t>Communications Centre</w:t>
            </w:r>
          </w:p>
        </w:tc>
        <w:tc>
          <w:tcPr>
            <w:tcW w:type="dxa" w:w="3288"/>
            <w:shd w:fill="EFF5F9"/>
            <w:tcMar>
              <w:top w:w="130" w:type="dxa"/>
              <w:start w:w="120" w:type="dxa"/>
              <w:bottom w:w="120" w:type="dxa"/>
              <w:end w:w="120" w:type="dxa"/>
            </w:tcMar>
            <w:tcBorders>
              <w:top w:val="single" w:sz="8" w:color="2F7D5A"/>
              <w:left w:val="single" w:sz="3" w:color="CBD6E0"/>
              <w:bottom w:val="single" w:sz="3" w:color="CBD6E0"/>
              <w:right w:val="single" w:sz="3" w:color="CBD6E0"/>
            </w:tcBorders>
          </w:tcPr>
          <w:p>
            <w:pPr>
              <w:jc w:val="center"/>
            </w:pPr>
            <w:r>
              <w:rPr>
                <w:rFonts w:ascii="Aptos Display" w:hAnsi="Aptos Display"/>
                <w:b/>
                <w:color w:val="2F7D5A"/>
                <w:sz w:val="34"/>
              </w:rPr>
              <w:t>77%</w:t>
            </w:r>
          </w:p>
          <w:p>
            <w:pPr>
              <w:spacing w:after="40"/>
              <w:jc w:val="center"/>
            </w:pPr>
            <w:r>
              <w:rPr>
                <w:rFonts w:ascii="Aptos" w:hAnsi="Aptos"/>
                <w:b/>
                <w:color w:val="182433"/>
                <w:sz w:val="16"/>
              </w:rPr>
              <w:t>strategic deliverables complete</w:t>
            </w:r>
          </w:p>
          <w:p>
            <w:pPr>
              <w:spacing w:after="0"/>
              <w:jc w:val="center"/>
            </w:pPr>
            <w:r>
              <w:rPr>
                <w:rFonts w:ascii="Aptos" w:hAnsi="Aptos"/>
                <w:color w:val="5E6B78"/>
                <w:sz w:val="14"/>
              </w:rPr>
              <w:t>288 of 375</w:t>
            </w:r>
          </w:p>
        </w:tc>
      </w:tr>
    </w:tbl>
    <w:p>
      <w:pPr>
        <w:spacing w:after="0"/>
      </w:pPr>
    </w:p>
    <w:p>
      <w:pPr>
        <w:spacing w:after="100"/>
      </w:pPr>
      <w:r>
        <w:t>The 2025 LPS annual report states that Priority 1 and Priority 3 response times improved, officers completed more than 34,000 targeted patrol visits and dedicated over 22,000 hours to data/community-identified locations. The published summary does not provide the same detailed 90th-percentile response-time table used in the 2024 report; the underlying 2025 KPI table should be requested for trend testing.</w:t>
      </w:r>
    </w:p>
    <w:p>
      <w:pPr>
        <w:spacing w:before="40" w:after="100"/>
      </w:pPr>
      <w:r>
        <w:rPr>
          <w:rFonts w:ascii="Aptos" w:hAnsi="Aptos"/>
          <w:b/>
          <w:color w:val="2166A5"/>
          <w:sz w:val="14"/>
        </w:rPr>
        <w:t xml:space="preserve">SOURCE LOCK  </w:t>
      </w:r>
      <w:r>
        <w:rPr>
          <w:rFonts w:ascii="Aptos" w:hAnsi="Aptos"/>
          <w:b/>
          <w:color w:val="182433"/>
          <w:sz w:val="14"/>
        </w:rPr>
        <w:t>S32</w:t>
      </w:r>
    </w:p>
    <w:p>
      <w:pPr>
        <w:pStyle w:val="Heading2"/>
      </w:pPr>
      <w:r>
        <w:t>9.3 Remaining services — finished availability matrix</w:t>
      </w:r>
    </w:p>
    <w:tbl>
      <w:tblPr>
        <w:tblW w:type="auto" w:w="0"/>
        <w:jc w:val="center"/>
        <w:tblLayout w:type="fixed"/>
        <w:tblLook w:firstColumn="1" w:firstRow="1" w:lastColumn="0" w:lastRow="0" w:noHBand="0" w:noVBand="1" w:val="04A0"/>
      </w:tblPr>
      <w:tblGrid>
        <w:gridCol w:w="2527"/>
        <w:gridCol w:w="2527"/>
        <w:gridCol w:w="2527"/>
        <w:gridCol w:w="2527"/>
      </w:tblGrid>
      <w:tr>
        <w:trPr>
          <w:tblHeader w:val="true"/>
        </w:trPr>
        <w:tc>
          <w:tcPr>
            <w:tcW w:type="dxa" w:w="1512"/>
            <w:shd w:fill="17365D"/>
            <w:tcMar>
              <w:top w:w="90" w:type="dxa"/>
              <w:start w:w="90" w:type="dxa"/>
              <w:bottom w:w="90" w:type="dxa"/>
              <w:end w:w="90" w:type="dxa"/>
            </w:tcMar>
          </w:tcPr>
          <w:p>
            <w:pPr>
              <w:spacing w:after="0"/>
            </w:pPr>
            <w:r>
              <w:rPr>
                <w:rFonts w:ascii="Aptos" w:hAnsi="Aptos"/>
                <w:b/>
                <w:color w:val="FFFFFF"/>
                <w:sz w:val="13"/>
              </w:rPr>
              <w:t>Service</w:t>
            </w:r>
          </w:p>
        </w:tc>
        <w:tc>
          <w:tcPr>
            <w:tcW w:type="dxa" w:w="3384"/>
            <w:shd w:fill="17365D"/>
            <w:tcMar>
              <w:top w:w="90" w:type="dxa"/>
              <w:start w:w="90" w:type="dxa"/>
              <w:bottom w:w="90" w:type="dxa"/>
              <w:end w:w="90" w:type="dxa"/>
            </w:tcMar>
          </w:tcPr>
          <w:p>
            <w:pPr>
              <w:spacing w:after="0"/>
            </w:pPr>
            <w:r>
              <w:rPr>
                <w:rFonts w:ascii="Aptos" w:hAnsi="Aptos"/>
                <w:b/>
                <w:color w:val="FFFFFF"/>
                <w:sz w:val="13"/>
              </w:rPr>
              <w:t>Public baseline located</w:t>
            </w:r>
          </w:p>
        </w:tc>
        <w:tc>
          <w:tcPr>
            <w:tcW w:type="dxa" w:w="4320"/>
            <w:shd w:fill="17365D"/>
            <w:tcMar>
              <w:top w:w="90" w:type="dxa"/>
              <w:start w:w="90" w:type="dxa"/>
              <w:bottom w:w="90" w:type="dxa"/>
              <w:end w:w="90" w:type="dxa"/>
            </w:tcMar>
          </w:tcPr>
          <w:p>
            <w:pPr>
              <w:spacing w:after="0"/>
            </w:pPr>
            <w:r>
              <w:rPr>
                <w:rFonts w:ascii="Aptos" w:hAnsi="Aptos"/>
                <w:b/>
                <w:color w:val="FFFFFF"/>
                <w:sz w:val="13"/>
              </w:rPr>
              <w:t>Required performance spine</w:t>
            </w:r>
          </w:p>
        </w:tc>
        <w:tc>
          <w:tcPr>
            <w:tcW w:type="dxa" w:w="648"/>
            <w:shd w:fill="17365D"/>
            <w:tcMar>
              <w:top w:w="90" w:type="dxa"/>
              <w:start w:w="90" w:type="dxa"/>
              <w:bottom w:w="90" w:type="dxa"/>
              <w:end w:w="90" w:type="dxa"/>
            </w:tcMar>
          </w:tcPr>
          <w:p>
            <w:pPr>
              <w:spacing w:after="0"/>
            </w:pPr>
            <w:r>
              <w:rPr>
                <w:rFonts w:ascii="Aptos" w:hAnsi="Aptos"/>
                <w:b/>
                <w:color w:val="FFFFFF"/>
                <w:sz w:val="13"/>
              </w:rPr>
              <w:t>Route</w:t>
            </w:r>
          </w:p>
        </w:tc>
      </w:tr>
      <w:tr>
        <w:trPr>
          <w:cantSplit/>
        </w:trPr>
        <w:tc>
          <w:tcPr>
            <w:tcW w:type="dxa" w:w="1512"/>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Fire</w:t>
            </w:r>
          </w:p>
        </w:tc>
        <w:tc>
          <w:tcPr>
            <w:tcW w:type="dxa" w:w="3384"/>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2025 Fire Master Plan; &gt;400 personnel and &gt;13,000 alarms/year baseline.</w:t>
            </w:r>
          </w:p>
        </w:tc>
        <w:tc>
          <w:tcPr>
            <w:tcW w:type="dxa" w:w="432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Annual incidents by type, 90th-percentile turnout/travel/total response, staffing compliance, loss, inspections.</w:t>
            </w:r>
          </w:p>
        </w:tc>
        <w:tc>
          <w:tcPr>
            <w:tcW w:type="dxa" w:w="648"/>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R5</w:t>
            </w:r>
          </w:p>
        </w:tc>
      </w:tr>
      <w:tr>
        <w:trPr>
          <w:cantSplit/>
        </w:trPr>
        <w:tc>
          <w:tcPr>
            <w:tcW w:type="dxa" w:w="1512"/>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Water</w:t>
            </w:r>
          </w:p>
        </w:tc>
        <w:tc>
          <w:tcPr>
            <w:tcW w:type="dxa" w:w="3384"/>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2026 operating budget $111.050M; capital plan $707M; annual water-quality reporting page.</w:t>
            </w:r>
          </w:p>
        </w:tc>
        <w:tc>
          <w:tcPr>
            <w:tcW w:type="dxa" w:w="432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Volume, breaks, leakage, boil-water/adverse events, complaint/restoration times, unit cost.</w:t>
            </w:r>
          </w:p>
        </w:tc>
        <w:tc>
          <w:tcPr>
            <w:tcW w:type="dxa" w:w="648"/>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R5</w:t>
            </w:r>
          </w:p>
        </w:tc>
      </w:tr>
      <w:tr>
        <w:trPr>
          <w:cantSplit/>
        </w:trPr>
        <w:tc>
          <w:tcPr>
            <w:tcW w:type="dxa" w:w="1512"/>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Wastewater/stormwater</w:t>
            </w:r>
          </w:p>
        </w:tc>
        <w:tc>
          <w:tcPr>
            <w:tcW w:type="dxa" w:w="3384"/>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2026 operating budget $142.567M; capital plan $1.469B; 2025 stormwater performance link.</w:t>
            </w:r>
          </w:p>
        </w:tc>
        <w:tc>
          <w:tcPr>
            <w:tcW w:type="dxa" w:w="432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Influent/effluent, bypasses, overflows, energy, unit cost, flood calls, regulatory exceedances.</w:t>
            </w:r>
          </w:p>
        </w:tc>
        <w:tc>
          <w:tcPr>
            <w:tcW w:type="dxa" w:w="648"/>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R5</w:t>
            </w:r>
          </w:p>
        </w:tc>
      </w:tr>
      <w:tr>
        <w:trPr>
          <w:cantSplit/>
        </w:trPr>
        <w:tc>
          <w:tcPr>
            <w:tcW w:type="dxa" w:w="1512"/>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Roads / traffic</w:t>
            </w:r>
          </w:p>
        </w:tc>
        <w:tc>
          <w:tcPr>
            <w:tcW w:type="dxa" w:w="3384"/>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Asset inventories and budget/project reporting available.</w:t>
            </w:r>
          </w:p>
        </w:tc>
        <w:tc>
          <w:tcPr>
            <w:tcW w:type="dxa" w:w="432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Lane-km condition, pothole response, winter standard compliance, construction delay, unit cost.</w:t>
            </w:r>
          </w:p>
        </w:tc>
        <w:tc>
          <w:tcPr>
            <w:tcW w:type="dxa" w:w="648"/>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R5</w:t>
            </w:r>
          </w:p>
        </w:tc>
      </w:tr>
      <w:tr>
        <w:trPr>
          <w:cantSplit/>
        </w:trPr>
        <w:tc>
          <w:tcPr>
            <w:tcW w:type="dxa" w:w="1512"/>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Recreation / parks</w:t>
            </w:r>
          </w:p>
        </w:tc>
        <w:tc>
          <w:tcPr>
            <w:tcW w:type="dxa" w:w="3384"/>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Annual master-plan reports and service plans available.</w:t>
            </w:r>
          </w:p>
        </w:tc>
        <w:tc>
          <w:tcPr>
            <w:tcW w:type="dxa" w:w="432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Facility utilization, waitlists, subsidy per visit, closures, field/ice condition, geographic access.</w:t>
            </w:r>
          </w:p>
        </w:tc>
        <w:tc>
          <w:tcPr>
            <w:tcW w:type="dxa" w:w="648"/>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R5</w:t>
            </w:r>
          </w:p>
        </w:tc>
      </w:tr>
      <w:tr>
        <w:trPr>
          <w:cantSplit/>
        </w:trPr>
        <w:tc>
          <w:tcPr>
            <w:tcW w:type="dxa" w:w="1512"/>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Real estate</w:t>
            </w:r>
          </w:p>
        </w:tc>
        <w:tc>
          <w:tcPr>
            <w:tcW w:type="dxa" w:w="3384"/>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Scattered acquisition/disposition and project records.</w:t>
            </w:r>
          </w:p>
        </w:tc>
        <w:tc>
          <w:tcPr>
            <w:tcW w:type="dxa" w:w="432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Property inventory, utilization, vacancy, carrying cost, appraisal vs transaction, lease revenue.</w:t>
            </w:r>
          </w:p>
        </w:tc>
        <w:tc>
          <w:tcPr>
            <w:tcW w:type="dxa" w:w="648"/>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R5</w:t>
            </w:r>
          </w:p>
        </w:tc>
      </w:tr>
      <w:tr>
        <w:trPr>
          <w:cantSplit/>
        </w:trPr>
        <w:tc>
          <w:tcPr>
            <w:tcW w:type="dxa" w:w="1512"/>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Fleet</w:t>
            </w:r>
          </w:p>
        </w:tc>
        <w:tc>
          <w:tcPr>
            <w:tcW w:type="dxa" w:w="3384"/>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Capital replacements and service-plan material.</w:t>
            </w:r>
          </w:p>
        </w:tc>
        <w:tc>
          <w:tcPr>
            <w:tcW w:type="dxa" w:w="432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Availability, age, downtime, maintenance cost/km, fuel/energy, preventable incidents.</w:t>
            </w:r>
          </w:p>
        </w:tc>
        <w:tc>
          <w:tcPr>
            <w:tcW w:type="dxa" w:w="648"/>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R5</w:t>
            </w:r>
          </w:p>
        </w:tc>
      </w:tr>
      <w:tr>
        <w:trPr>
          <w:cantSplit/>
        </w:trPr>
        <w:tc>
          <w:tcPr>
            <w:tcW w:type="dxa" w:w="1512"/>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IT / digital</w:t>
            </w:r>
          </w:p>
        </w:tc>
        <w:tc>
          <w:tcPr>
            <w:tcW w:type="dxa" w:w="3384"/>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Project/business-case reporting, no joined portfolio outcomes.</w:t>
            </w:r>
          </w:p>
        </w:tc>
        <w:tc>
          <w:tcPr>
            <w:tcW w:type="dxa" w:w="432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Portfolio budget/FAC, uptime, incidents, licensing, project benefits, contractor reliance.</w:t>
            </w:r>
          </w:p>
        </w:tc>
        <w:tc>
          <w:tcPr>
            <w:tcW w:type="dxa" w:w="648"/>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R5</w:t>
            </w:r>
          </w:p>
        </w:tc>
      </w:tr>
      <w:tr>
        <w:trPr>
          <w:cantSplit/>
        </w:trPr>
        <w:tc>
          <w:tcPr>
            <w:tcW w:type="dxa" w:w="1512"/>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Legal / insurance</w:t>
            </w:r>
          </w:p>
        </w:tc>
        <w:tc>
          <w:tcPr>
            <w:tcW w:type="dxa" w:w="3384"/>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Financial-statement liabilities and scattered reports.</w:t>
            </w:r>
          </w:p>
        </w:tc>
        <w:tc>
          <w:tcPr>
            <w:tcW w:type="dxa" w:w="432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Claims by type, reserve, settlement, legal spend, cycle time, recoveries.</w:t>
            </w:r>
          </w:p>
        </w:tc>
        <w:tc>
          <w:tcPr>
            <w:tcW w:type="dxa" w:w="648"/>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R5</w:t>
            </w:r>
          </w:p>
        </w:tc>
      </w:tr>
      <w:tr>
        <w:trPr>
          <w:cantSplit/>
        </w:trPr>
        <w:tc>
          <w:tcPr>
            <w:tcW w:type="dxa" w:w="1512"/>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Economic-development incentives</w:t>
            </w:r>
          </w:p>
        </w:tc>
        <w:tc>
          <w:tcPr>
            <w:tcW w:type="dxa" w:w="3384"/>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CIP and grant approvals exist.</w:t>
            </w:r>
          </w:p>
        </w:tc>
        <w:tc>
          <w:tcPr>
            <w:tcW w:type="dxa" w:w="432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Approval/payment/output/tax-base/occupancy/jobs ledger with counterfactual caveat.</w:t>
            </w:r>
          </w:p>
        </w:tc>
        <w:tc>
          <w:tcPr>
            <w:tcW w:type="dxa" w:w="648"/>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R6</w:t>
            </w:r>
          </w:p>
        </w:tc>
      </w:tr>
    </w:tbl>
    <w:p>
      <w:pPr>
        <w:spacing w:after="0"/>
      </w:pPr>
    </w:p>
    <w:tbl>
      <w:tblPr>
        <w:tblW w:type="auto" w:w="0"/>
        <w:jc w:val="center"/>
        <w:tblLayout w:type="fixed"/>
        <w:tblLook w:firstColumn="1" w:firstRow="1" w:lastColumn="0" w:lastRow="0" w:noHBand="0" w:noVBand="1" w:val="04A0"/>
      </w:tblPr>
      <w:tblGrid>
        <w:gridCol w:w="115"/>
        <w:gridCol w:w="9648"/>
      </w:tblGrid>
      <w:tr>
        <w:tc>
          <w:tcPr>
            <w:tcW w:type="dxa" w:w="5054"/>
            <w:shd w:fill="B36A00"/>
            <w:tcMar>
              <w:top w:w="0" w:type="dxa"/>
              <w:start w:w="0" w:type="dxa"/>
              <w:bottom w:w="0" w:type="dxa"/>
              <w:end w:w="0" w:type="dxa"/>
            </w:tcMar>
          </w:tcPr>
          <w:p/>
        </w:tc>
        <w:tc>
          <w:tcPr>
            <w:tcW w:type="dxa" w:w="5054"/>
            <w:shd w:fill="FFF1D6"/>
            <w:tcMar>
              <w:top w:w="130" w:type="dxa"/>
              <w:start w:w="160" w:type="dxa"/>
              <w:bottom w:w="130" w:type="dxa"/>
              <w:end w:w="160" w:type="dxa"/>
            </w:tcMar>
            <w:tcBorders>
              <w:top w:val="single" w:sz="4" w:color="CBD6E0"/>
              <w:bottom w:val="single" w:sz="4" w:color="CBD6E0"/>
              <w:right w:val="single" w:sz="4" w:color="CBD6E0"/>
            </w:tcBorders>
          </w:tcPr>
          <w:p>
            <w:pPr>
              <w:spacing w:after="60"/>
            </w:pPr>
            <w:r>
              <w:rPr>
                <w:rFonts w:ascii="Aptos" w:hAnsi="Aptos"/>
                <w:b/>
                <w:color w:val="B36A00"/>
                <w:sz w:val="18"/>
              </w:rPr>
              <w:t>Service-module verdict</w:t>
            </w:r>
          </w:p>
          <w:p>
            <w:pPr>
              <w:spacing w:after="0" w:line="252" w:lineRule="auto"/>
            </w:pPr>
            <w:r>
              <w:t>Transit and police are now evidence-built. The other services no longer sit as vague “future work”: each has a defined KPI spine, known public baseline and exact request route. Until the underlying series arrives, the report makes no cross-service productivity ranking.</w:t>
            </w:r>
          </w:p>
        </w:tc>
      </w:tr>
    </w:tbl>
    <w:p>
      <w:pPr>
        <w:spacing w:after="0"/>
      </w:pPr>
    </w:p>
    <w:p>
      <w:pPr>
        <w:spacing w:before="40" w:after="100"/>
      </w:pPr>
      <w:r>
        <w:rPr>
          <w:rFonts w:ascii="Aptos" w:hAnsi="Aptos"/>
          <w:b/>
          <w:color w:val="2166A5"/>
          <w:sz w:val="14"/>
        </w:rPr>
        <w:t xml:space="preserve">SOURCE LOCK  </w:t>
      </w:r>
      <w:r>
        <w:rPr>
          <w:rFonts w:ascii="Aptos" w:hAnsi="Aptos"/>
          <w:b/>
          <w:color w:val="182433"/>
          <w:sz w:val="14"/>
        </w:rPr>
        <w:t>S01, S27, S31–S35, R5</w:t>
      </w:r>
    </w:p>
    <w:p>
      <w:pPr>
        <w:pageBreakBefore/>
        <w:spacing w:after="60"/>
      </w:pPr>
      <w:r>
        <w:rPr>
          <w:rFonts w:ascii="Aptos" w:hAnsi="Aptos"/>
          <w:b/>
          <w:color w:val="2166A5"/>
          <w:sz w:val="16"/>
        </w:rPr>
        <w:t>PART 10</w:t>
      </w:r>
    </w:p>
    <w:p>
      <w:pPr>
        <w:pStyle w:val="Heading1"/>
      </w:pPr>
      <w:r>
        <w:t>Strategy-to-output traceability and internal-audit crosswalk</w:t>
      </w:r>
    </w:p>
    <w:p>
      <w:pPr>
        <w:pStyle w:val="Heading2"/>
      </w:pPr>
      <w:r>
        <w:t>10.1 Strategy → input → output → outcome</w:t>
      </w:r>
    </w:p>
    <w:tbl>
      <w:tblPr>
        <w:tblW w:type="auto" w:w="0"/>
        <w:jc w:val="center"/>
        <w:tblLayout w:type="fixed"/>
        <w:tblLook w:firstColumn="1" w:firstRow="1" w:lastColumn="0" w:lastRow="0" w:noHBand="0" w:noVBand="1" w:val="04A0"/>
      </w:tblPr>
      <w:tblGrid>
        <w:gridCol w:w="1685"/>
        <w:gridCol w:w="1685"/>
        <w:gridCol w:w="1685"/>
        <w:gridCol w:w="1685"/>
        <w:gridCol w:w="1685"/>
        <w:gridCol w:w="1685"/>
      </w:tblGrid>
      <w:tr>
        <w:trPr>
          <w:tblHeader w:val="true"/>
        </w:trPr>
        <w:tc>
          <w:tcPr>
            <w:tcW w:type="dxa" w:w="1224"/>
            <w:shd w:fill="17365D"/>
            <w:tcMar>
              <w:top w:w="90" w:type="dxa"/>
              <w:start w:w="90" w:type="dxa"/>
              <w:bottom w:w="90" w:type="dxa"/>
              <w:end w:w="90" w:type="dxa"/>
            </w:tcMar>
          </w:tcPr>
          <w:p>
            <w:pPr>
              <w:spacing w:after="0"/>
            </w:pPr>
            <w:r>
              <w:rPr>
                <w:rFonts w:ascii="Aptos" w:hAnsi="Aptos"/>
                <w:b/>
                <w:color w:val="FFFFFF"/>
                <w:sz w:val="13"/>
              </w:rPr>
              <w:t>Program</w:t>
            </w:r>
          </w:p>
        </w:tc>
        <w:tc>
          <w:tcPr>
            <w:tcW w:type="dxa" w:w="1800"/>
            <w:shd w:fill="17365D"/>
            <w:tcMar>
              <w:top w:w="90" w:type="dxa"/>
              <w:start w:w="90" w:type="dxa"/>
              <w:bottom w:w="90" w:type="dxa"/>
              <w:end w:w="90" w:type="dxa"/>
            </w:tcMar>
          </w:tcPr>
          <w:p>
            <w:pPr>
              <w:spacing w:after="0"/>
            </w:pPr>
            <w:r>
              <w:rPr>
                <w:rFonts w:ascii="Aptos" w:hAnsi="Aptos"/>
                <w:b/>
                <w:color w:val="FFFFFF"/>
                <w:sz w:val="13"/>
              </w:rPr>
              <w:t>Strategy / target</w:t>
            </w:r>
          </w:p>
        </w:tc>
        <w:tc>
          <w:tcPr>
            <w:tcW w:type="dxa" w:w="1800"/>
            <w:shd w:fill="17365D"/>
            <w:tcMar>
              <w:top w:w="90" w:type="dxa"/>
              <w:start w:w="90" w:type="dxa"/>
              <w:bottom w:w="90" w:type="dxa"/>
              <w:end w:w="90" w:type="dxa"/>
            </w:tcMar>
          </w:tcPr>
          <w:p>
            <w:pPr>
              <w:spacing w:after="0"/>
            </w:pPr>
            <w:r>
              <w:rPr>
                <w:rFonts w:ascii="Aptos" w:hAnsi="Aptos"/>
                <w:b/>
                <w:color w:val="FFFFFF"/>
                <w:sz w:val="13"/>
              </w:rPr>
              <w:t>Public input</w:t>
            </w:r>
          </w:p>
        </w:tc>
        <w:tc>
          <w:tcPr>
            <w:tcW w:type="dxa" w:w="1800"/>
            <w:shd w:fill="17365D"/>
            <w:tcMar>
              <w:top w:w="90" w:type="dxa"/>
              <w:start w:w="90" w:type="dxa"/>
              <w:bottom w:w="90" w:type="dxa"/>
              <w:end w:w="90" w:type="dxa"/>
            </w:tcMar>
          </w:tcPr>
          <w:p>
            <w:pPr>
              <w:spacing w:after="0"/>
            </w:pPr>
            <w:r>
              <w:rPr>
                <w:rFonts w:ascii="Aptos" w:hAnsi="Aptos"/>
                <w:b/>
                <w:color w:val="FFFFFF"/>
                <w:sz w:val="13"/>
              </w:rPr>
              <w:t>Public output</w:t>
            </w:r>
          </w:p>
        </w:tc>
        <w:tc>
          <w:tcPr>
            <w:tcW w:type="dxa" w:w="2088"/>
            <w:shd w:fill="17365D"/>
            <w:tcMar>
              <w:top w:w="90" w:type="dxa"/>
              <w:start w:w="90" w:type="dxa"/>
              <w:bottom w:w="90" w:type="dxa"/>
              <w:end w:w="90" w:type="dxa"/>
            </w:tcMar>
          </w:tcPr>
          <w:p>
            <w:pPr>
              <w:spacing w:after="0"/>
            </w:pPr>
            <w:r>
              <w:rPr>
                <w:rFonts w:ascii="Aptos" w:hAnsi="Aptos"/>
                <w:b/>
                <w:color w:val="FFFFFF"/>
                <w:sz w:val="13"/>
              </w:rPr>
              <w:t>Outcome evidence</w:t>
            </w:r>
          </w:p>
        </w:tc>
        <w:tc>
          <w:tcPr>
            <w:tcW w:type="dxa" w:w="1800"/>
            <w:shd w:fill="17365D"/>
            <w:tcMar>
              <w:top w:w="90" w:type="dxa"/>
              <w:start w:w="90" w:type="dxa"/>
              <w:bottom w:w="90" w:type="dxa"/>
              <w:end w:w="90" w:type="dxa"/>
            </w:tcMar>
          </w:tcPr>
          <w:p>
            <w:pPr>
              <w:spacing w:after="0"/>
            </w:pPr>
            <w:r>
              <w:rPr>
                <w:rFonts w:ascii="Aptos" w:hAnsi="Aptos"/>
                <w:b/>
                <w:color w:val="FFFFFF"/>
                <w:sz w:val="13"/>
              </w:rPr>
              <w:t>Gap</w:t>
            </w:r>
          </w:p>
        </w:tc>
      </w:tr>
      <w:tr>
        <w:trPr>
          <w:cantSplit/>
        </w:trPr>
        <w:tc>
          <w:tcPr>
            <w:tcW w:type="dxa" w:w="1224"/>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CEAP</w:t>
            </w:r>
          </w:p>
        </w:tc>
        <w:tc>
          <w:tcPr>
            <w:tcW w:type="dxa" w:w="180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Net-zero community emissions by 2050; 200 actions.</w:t>
            </w:r>
          </w:p>
        </w:tc>
        <w:tc>
          <w:tcPr>
            <w:tcW w:type="dxa" w:w="180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Partial business-case funding; $45.5M requested over four years.</w:t>
            </w:r>
          </w:p>
        </w:tc>
        <w:tc>
          <w:tcPr>
            <w:tcW w:type="dxa" w:w="180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Dashboard statuses and progress reports.</w:t>
            </w:r>
          </w:p>
        </w:tc>
        <w:tc>
          <w:tcPr>
            <w:tcW w:type="dxa" w:w="2088"/>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Emissions/progress indicators exist, but attribution is broad.</w:t>
            </w:r>
          </w:p>
        </w:tc>
        <w:tc>
          <w:tcPr>
            <w:tcW w:type="dxa" w:w="180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Audit found broad/descriptive design and limited funding for many actions.</w:t>
            </w:r>
          </w:p>
        </w:tc>
      </w:tr>
      <w:tr>
        <w:trPr>
          <w:cantSplit/>
        </w:trPr>
        <w:tc>
          <w:tcPr>
            <w:tcW w:type="dxa" w:w="1224"/>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Community grants</w:t>
            </w:r>
          </w:p>
        </w:tc>
        <w:tc>
          <w:tcPr>
            <w:tcW w:type="dxa" w:w="180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Strategic-plan alignment.</w:t>
            </w:r>
          </w:p>
        </w:tc>
        <w:tc>
          <w:tcPr>
            <w:tcW w:type="dxa" w:w="180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$9.2M multi-year; annual streams.</w:t>
            </w:r>
          </w:p>
        </w:tc>
        <w:tc>
          <w:tcPr>
            <w:tcW w:type="dxa" w:w="180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Organizations/projects and people served.</w:t>
            </w:r>
          </w:p>
        </w:tc>
        <w:tc>
          <w:tcPr>
            <w:tcW w:type="dxa" w:w="2088"/>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Reported leverage and project outcomes.</w:t>
            </w:r>
          </w:p>
        </w:tc>
        <w:tc>
          <w:tcPr>
            <w:tcW w:type="dxa" w:w="180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Score-to-award rule and rationale controls remain open.</w:t>
            </w:r>
          </w:p>
        </w:tc>
      </w:tr>
      <w:tr>
        <w:trPr>
          <w:cantSplit/>
        </w:trPr>
        <w:tc>
          <w:tcPr>
            <w:tcW w:type="dxa" w:w="1224"/>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Affordable housing</w:t>
            </w:r>
          </w:p>
        </w:tc>
        <w:tc>
          <w:tcPr>
            <w:tcW w:type="dxa" w:w="180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Roadmap to 3,000.</w:t>
            </w:r>
          </w:p>
        </w:tc>
        <w:tc>
          <w:tcPr>
            <w:tcW w:type="dxa" w:w="180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Municipal capital/program funding.</w:t>
            </w:r>
          </w:p>
        </w:tc>
        <w:tc>
          <w:tcPr>
            <w:tcW w:type="dxa" w:w="180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2,576 City-funded units tracked.</w:t>
            </w:r>
          </w:p>
        </w:tc>
        <w:tc>
          <w:tcPr>
            <w:tcW w:type="dxa" w:w="2088"/>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44 City-led HSH units explicitly completed/occupied.</w:t>
            </w:r>
          </w:p>
        </w:tc>
        <w:tc>
          <w:tcPr>
            <w:tcW w:type="dxa" w:w="180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Stable project-stage and cost-per-occupied-unit join missing.</w:t>
            </w:r>
          </w:p>
        </w:tc>
      </w:tr>
      <w:tr>
        <w:trPr>
          <w:cantSplit/>
        </w:trPr>
        <w:tc>
          <w:tcPr>
            <w:tcW w:type="dxa" w:w="1224"/>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Transit</w:t>
            </w:r>
          </w:p>
        </w:tc>
        <w:tc>
          <w:tcPr>
            <w:tcW w:type="dxa" w:w="180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Accessible, reliable, affordable mobility.</w:t>
            </w:r>
          </w:p>
        </w:tc>
        <w:tc>
          <w:tcPr>
            <w:tcW w:type="dxa" w:w="180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$118M operating program; service hours.</w:t>
            </w:r>
          </w:p>
        </w:tc>
        <w:tc>
          <w:tcPr>
            <w:tcW w:type="dxa" w:w="180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Rides, service hours, route changes.</w:t>
            </w:r>
          </w:p>
        </w:tc>
        <w:tc>
          <w:tcPr>
            <w:tcW w:type="dxa" w:w="2088"/>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Satisfaction, cost/ride, peer data.</w:t>
            </w:r>
          </w:p>
        </w:tc>
        <w:tc>
          <w:tcPr>
            <w:tcW w:type="dxa" w:w="180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On-time satisfaction remains low; population growth test flagged by LTC.</w:t>
            </w:r>
          </w:p>
        </w:tc>
      </w:tr>
      <w:tr>
        <w:trPr>
          <w:cantSplit/>
        </w:trPr>
        <w:tc>
          <w:tcPr>
            <w:tcW w:type="dxa" w:w="1224"/>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CIPs</w:t>
            </w:r>
          </w:p>
        </w:tc>
        <w:tc>
          <w:tcPr>
            <w:tcW w:type="dxa" w:w="180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Revitalization and private investment.</w:t>
            </w:r>
          </w:p>
        </w:tc>
        <w:tc>
          <w:tcPr>
            <w:tcW w:type="dxa" w:w="180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Incentive approvals.</w:t>
            </w:r>
          </w:p>
        </w:tc>
        <w:tc>
          <w:tcPr>
            <w:tcW w:type="dxa" w:w="180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Projects receiving incentives.</w:t>
            </w:r>
          </w:p>
        </w:tc>
        <w:tc>
          <w:tcPr>
            <w:tcW w:type="dxa" w:w="2088"/>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Project-level outcomes not consolidated publicly.</w:t>
            </w:r>
          </w:p>
        </w:tc>
        <w:tc>
          <w:tcPr>
            <w:tcW w:type="dxa" w:w="180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MNP found limited project-level outcome monitoring.</w:t>
            </w:r>
          </w:p>
        </w:tc>
      </w:tr>
    </w:tbl>
    <w:p>
      <w:pPr>
        <w:spacing w:after="0"/>
      </w:pPr>
    </w:p>
    <w:p>
      <w:pPr>
        <w:spacing w:before="40" w:after="100"/>
      </w:pPr>
      <w:r>
        <w:rPr>
          <w:rFonts w:ascii="Aptos" w:hAnsi="Aptos"/>
          <w:b/>
          <w:color w:val="2166A5"/>
          <w:sz w:val="14"/>
        </w:rPr>
        <w:t xml:space="preserve">SOURCE LOCK  </w:t>
      </w:r>
      <w:r>
        <w:rPr>
          <w:rFonts w:ascii="Aptos" w:hAnsi="Aptos"/>
          <w:b/>
          <w:color w:val="182433"/>
          <w:sz w:val="14"/>
        </w:rPr>
        <w:t>S02, S14–S16, S20–S22, S31</w:t>
      </w:r>
    </w:p>
    <w:p>
      <w:pPr>
        <w:pStyle w:val="Heading2"/>
      </w:pPr>
      <w:r>
        <w:t>10.2 CEAP audit — what changed</w:t>
      </w:r>
    </w:p>
    <w:p>
      <w:pPr>
        <w:spacing w:after="100"/>
      </w:pPr>
      <w:r>
        <w:t>MNP’s June 17, 2026 CEAP final report lists 17 observations and recommendations. Searchable primary-source text identifies two central issues: the plan’s broad/descriptive nature complicates measurement and Council reporting, and many actions have limited allocated funding. The audit notes a $45.5 million four-year CEAP business-case request; only selected components were funded. Management responses should be tracked by observation, accountable owner and due date rather than summarized as one program status.</w:t>
      </w:r>
    </w:p>
    <w:tbl>
      <w:tblPr>
        <w:tblW w:type="auto" w:w="0"/>
        <w:jc w:val="center"/>
        <w:tblLayout w:type="fixed"/>
        <w:tblLook w:firstColumn="1" w:firstRow="1" w:lastColumn="0" w:lastRow="0" w:noHBand="0" w:noVBand="1" w:val="04A0"/>
      </w:tblPr>
      <w:tblGrid>
        <w:gridCol w:w="115"/>
        <w:gridCol w:w="9648"/>
      </w:tblGrid>
      <w:tr>
        <w:tc>
          <w:tcPr>
            <w:tcW w:type="dxa" w:w="5054"/>
            <w:shd w:fill="2166A5"/>
            <w:tcMar>
              <w:top w:w="0" w:type="dxa"/>
              <w:start w:w="0" w:type="dxa"/>
              <w:bottom w:w="0" w:type="dxa"/>
              <w:end w:w="0" w:type="dxa"/>
            </w:tcMar>
          </w:tcPr>
          <w:p/>
        </w:tc>
        <w:tc>
          <w:tcPr>
            <w:tcW w:type="dxa" w:w="5054"/>
            <w:shd w:fill="D9EAF7"/>
            <w:tcMar>
              <w:top w:w="130" w:type="dxa"/>
              <w:start w:w="160" w:type="dxa"/>
              <w:bottom w:w="130" w:type="dxa"/>
              <w:end w:w="160" w:type="dxa"/>
            </w:tcMar>
            <w:tcBorders>
              <w:top w:val="single" w:sz="4" w:color="CBD6E0"/>
              <w:bottom w:val="single" w:sz="4" w:color="CBD6E0"/>
              <w:right w:val="single" w:sz="4" w:color="CBD6E0"/>
            </w:tcBorders>
          </w:tcPr>
          <w:p>
            <w:pPr>
              <w:spacing w:after="60"/>
            </w:pPr>
            <w:r>
              <w:rPr>
                <w:rFonts w:ascii="Aptos" w:hAnsi="Aptos"/>
                <w:b/>
                <w:color w:val="2166A5"/>
                <w:sz w:val="18"/>
              </w:rPr>
              <w:t>Public dashboard is necessary but not sufficient</w:t>
            </w:r>
          </w:p>
          <w:p>
            <w:pPr>
              <w:spacing w:after="0" w:line="252" w:lineRule="auto"/>
            </w:pPr>
            <w:r>
              <w:t>The live CEAP dashboard lists all 200 actions with status and indicators. A status is not an outcome. Each action still needs a baseline, target, annual value, owner, cost, causal limits and evidence link.</w:t>
            </w:r>
          </w:p>
        </w:tc>
      </w:tr>
    </w:tbl>
    <w:p>
      <w:pPr>
        <w:spacing w:after="0"/>
      </w:pPr>
    </w:p>
    <w:p>
      <w:pPr>
        <w:spacing w:before="40" w:after="100"/>
      </w:pPr>
      <w:r>
        <w:rPr>
          <w:rFonts w:ascii="Aptos" w:hAnsi="Aptos"/>
          <w:b/>
          <w:color w:val="2166A5"/>
          <w:sz w:val="14"/>
        </w:rPr>
        <w:t xml:space="preserve">SOURCE LOCK  </w:t>
      </w:r>
      <w:r>
        <w:rPr>
          <w:rFonts w:ascii="Aptos" w:hAnsi="Aptos"/>
          <w:b/>
          <w:color w:val="182433"/>
          <w:sz w:val="14"/>
        </w:rPr>
        <w:t>S21, S22, S36</w:t>
      </w:r>
    </w:p>
    <w:p>
      <w:pPr>
        <w:pStyle w:val="Heading2"/>
      </w:pPr>
      <w:r>
        <w:t>10.3 Internal-audit crosswalk</w:t>
      </w:r>
    </w:p>
    <w:tbl>
      <w:tblPr>
        <w:tblW w:type="auto" w:w="0"/>
        <w:jc w:val="center"/>
        <w:tblLayout w:type="fixed"/>
        <w:tblLook w:firstColumn="1" w:firstRow="1" w:lastColumn="0" w:lastRow="0" w:noHBand="0" w:noVBand="1" w:val="04A0"/>
      </w:tblPr>
      <w:tblGrid>
        <w:gridCol w:w="2022"/>
        <w:gridCol w:w="2022"/>
        <w:gridCol w:w="2022"/>
        <w:gridCol w:w="2022"/>
        <w:gridCol w:w="2022"/>
      </w:tblGrid>
      <w:tr>
        <w:trPr>
          <w:tblHeader w:val="true"/>
        </w:trPr>
        <w:tc>
          <w:tcPr>
            <w:tcW w:type="dxa" w:w="2088"/>
            <w:shd w:fill="17365D"/>
            <w:tcMar>
              <w:top w:w="90" w:type="dxa"/>
              <w:start w:w="90" w:type="dxa"/>
              <w:bottom w:w="90" w:type="dxa"/>
              <w:end w:w="90" w:type="dxa"/>
            </w:tcMar>
          </w:tcPr>
          <w:p>
            <w:pPr>
              <w:spacing w:after="0"/>
            </w:pPr>
            <w:r>
              <w:rPr>
                <w:rFonts w:ascii="Aptos" w:hAnsi="Aptos"/>
                <w:b/>
                <w:color w:val="FFFFFF"/>
                <w:sz w:val="13"/>
              </w:rPr>
              <w:t>Audit / review</w:t>
            </w:r>
          </w:p>
        </w:tc>
        <w:tc>
          <w:tcPr>
            <w:tcW w:type="dxa" w:w="1152"/>
            <w:shd w:fill="17365D"/>
            <w:tcMar>
              <w:top w:w="90" w:type="dxa"/>
              <w:start w:w="90" w:type="dxa"/>
              <w:bottom w:w="90" w:type="dxa"/>
              <w:end w:w="90" w:type="dxa"/>
            </w:tcMar>
          </w:tcPr>
          <w:p>
            <w:pPr>
              <w:spacing w:after="0"/>
            </w:pPr>
            <w:r>
              <w:rPr>
                <w:rFonts w:ascii="Aptos" w:hAnsi="Aptos"/>
                <w:b/>
                <w:color w:val="FFFFFF"/>
                <w:sz w:val="13"/>
              </w:rPr>
              <w:t>Risk / volume</w:t>
            </w:r>
          </w:p>
        </w:tc>
        <w:tc>
          <w:tcPr>
            <w:tcW w:type="dxa" w:w="3384"/>
            <w:shd w:fill="17365D"/>
            <w:tcMar>
              <w:top w:w="90" w:type="dxa"/>
              <w:start w:w="90" w:type="dxa"/>
              <w:bottom w:w="90" w:type="dxa"/>
              <w:end w:w="90" w:type="dxa"/>
            </w:tcMar>
          </w:tcPr>
          <w:p>
            <w:pPr>
              <w:spacing w:after="0"/>
            </w:pPr>
            <w:r>
              <w:rPr>
                <w:rFonts w:ascii="Aptos" w:hAnsi="Aptos"/>
                <w:b/>
                <w:color w:val="FFFFFF"/>
                <w:sz w:val="13"/>
              </w:rPr>
              <w:t>Core issue</w:t>
            </w:r>
          </w:p>
        </w:tc>
        <w:tc>
          <w:tcPr>
            <w:tcW w:type="dxa" w:w="2304"/>
            <w:shd w:fill="17365D"/>
            <w:tcMar>
              <w:top w:w="90" w:type="dxa"/>
              <w:start w:w="90" w:type="dxa"/>
              <w:bottom w:w="90" w:type="dxa"/>
              <w:end w:w="90" w:type="dxa"/>
            </w:tcMar>
          </w:tcPr>
          <w:p>
            <w:pPr>
              <w:spacing w:after="0"/>
            </w:pPr>
            <w:r>
              <w:rPr>
                <w:rFonts w:ascii="Aptos" w:hAnsi="Aptos"/>
                <w:b/>
                <w:color w:val="FFFFFF"/>
                <w:sz w:val="13"/>
              </w:rPr>
              <w:t>Status at lock</w:t>
            </w:r>
          </w:p>
        </w:tc>
        <w:tc>
          <w:tcPr>
            <w:tcW w:type="dxa" w:w="1080"/>
            <w:shd w:fill="17365D"/>
            <w:tcMar>
              <w:top w:w="90" w:type="dxa"/>
              <w:start w:w="90" w:type="dxa"/>
              <w:bottom w:w="90" w:type="dxa"/>
              <w:end w:w="90" w:type="dxa"/>
            </w:tcMar>
          </w:tcPr>
          <w:p>
            <w:pPr>
              <w:spacing w:after="0"/>
            </w:pPr>
            <w:r>
              <w:rPr>
                <w:rFonts w:ascii="Aptos" w:hAnsi="Aptos"/>
                <w:b/>
                <w:color w:val="FFFFFF"/>
                <w:sz w:val="13"/>
              </w:rPr>
              <w:t>Ledger link</w:t>
            </w:r>
          </w:p>
        </w:tc>
      </w:tr>
      <w:tr>
        <w:trPr>
          <w:cantSplit/>
        </w:trPr>
        <w:tc>
          <w:tcPr>
            <w:tcW w:type="dxa" w:w="2088"/>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Housing Development Projects — lessons learned</w:t>
            </w:r>
          </w:p>
        </w:tc>
        <w:tc>
          <w:tcPr>
            <w:tcW w:type="dxa" w:w="1152"/>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High</w:t>
            </w:r>
          </w:p>
        </w:tc>
        <w:tc>
          <w:tcPr>
            <w:tcW w:type="dxa" w:w="3384"/>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Property-manager input; tenant-mix implications; baseline financial sustainability; reserve funding.</w:t>
            </w:r>
          </w:p>
        </w:tc>
        <w:tc>
          <w:tcPr>
            <w:tcW w:type="dxa" w:w="2304"/>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Closed after Dec. 1, 2025 management report.</w:t>
            </w:r>
          </w:p>
        </w:tc>
        <w:tc>
          <w:tcPr>
            <w:tcW w:type="dxa" w:w="108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Capital dossiers; housing</w:t>
            </w:r>
          </w:p>
        </w:tc>
      </w:tr>
      <w:tr>
        <w:trPr>
          <w:cantSplit/>
        </w:trPr>
        <w:tc>
          <w:tcPr>
            <w:tcW w:type="dxa" w:w="2088"/>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Community Grants VfM</w:t>
            </w:r>
          </w:p>
        </w:tc>
        <w:tc>
          <w:tcPr>
            <w:tcW w:type="dxa" w:w="1152"/>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2 medium</w:t>
            </w:r>
          </w:p>
        </w:tc>
        <w:tc>
          <w:tcPr>
            <w:tcW w:type="dxa" w:w="3384"/>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Score-to-funding rule; mandatory rationale; target areas without overlapping municipal funding.</w:t>
            </w:r>
          </w:p>
        </w:tc>
        <w:tc>
          <w:tcPr>
            <w:tcW w:type="dxa" w:w="2304"/>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On track · Q4 2027.</w:t>
            </w:r>
          </w:p>
        </w:tc>
        <w:tc>
          <w:tcPr>
            <w:tcW w:type="dxa" w:w="108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Grants</w:t>
            </w:r>
          </w:p>
        </w:tc>
      </w:tr>
      <w:tr>
        <w:trPr>
          <w:cantSplit/>
        </w:trPr>
        <w:tc>
          <w:tcPr>
            <w:tcW w:type="dxa" w:w="2088"/>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Homelessness VfM</w:t>
            </w:r>
          </w:p>
        </w:tc>
        <w:tc>
          <w:tcPr>
            <w:tcW w:type="dxa" w:w="1152"/>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2 medium</w:t>
            </w:r>
          </w:p>
        </w:tc>
        <w:tc>
          <w:tcPr>
            <w:tcW w:type="dxa" w:w="3384"/>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Hubs governance/outcomes; supplemental cost-benefit detail.</w:t>
            </w:r>
          </w:p>
        </w:tc>
        <w:tc>
          <w:tcPr>
            <w:tcW w:type="dxa" w:w="2304"/>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Follow-up dashboard plus Feb. 2026 supplement.</w:t>
            </w:r>
          </w:p>
        </w:tc>
        <w:tc>
          <w:tcPr>
            <w:tcW w:type="dxa" w:w="108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Housing / Hubs</w:t>
            </w:r>
          </w:p>
        </w:tc>
      </w:tr>
      <w:tr>
        <w:trPr>
          <w:cantSplit/>
        </w:trPr>
        <w:tc>
          <w:tcPr>
            <w:tcW w:type="dxa" w:w="2088"/>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ARAO Audit</w:t>
            </w:r>
          </w:p>
        </w:tc>
        <w:tc>
          <w:tcPr>
            <w:tcW w:type="dxa" w:w="1152"/>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5 medium</w:t>
            </w:r>
          </w:p>
        </w:tc>
        <w:tc>
          <w:tcPr>
            <w:tcW w:type="dxa" w:w="3384"/>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Use/governance of ARAO framework and Equity Tool.</w:t>
            </w:r>
          </w:p>
        </w:tc>
        <w:tc>
          <w:tcPr>
            <w:tcW w:type="dxa" w:w="2304"/>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Tracked in follow-up dashboard; detailed actions remain source-specific.</w:t>
            </w:r>
          </w:p>
        </w:tc>
        <w:tc>
          <w:tcPr>
            <w:tcW w:type="dxa" w:w="108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Strategy / governance</w:t>
            </w:r>
          </w:p>
        </w:tc>
      </w:tr>
      <w:tr>
        <w:trPr>
          <w:cantSplit/>
        </w:trPr>
        <w:tc>
          <w:tcPr>
            <w:tcW w:type="dxa" w:w="2088"/>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Performance Measurement</w:t>
            </w:r>
          </w:p>
        </w:tc>
        <w:tc>
          <w:tcPr>
            <w:tcW w:type="dxa" w:w="1152"/>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Final Nov. 10, 2025</w:t>
            </w:r>
          </w:p>
        </w:tc>
        <w:tc>
          <w:tcPr>
            <w:tcW w:type="dxa" w:w="3384"/>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Corporate performance framework and implementation tools tied to strategic-plan renewal.</w:t>
            </w:r>
          </w:p>
        </w:tc>
        <w:tc>
          <w:tcPr>
            <w:tcW w:type="dxa" w:w="2304"/>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Management targets span Q1–Q4 2026; framework completion Q4 2026.</w:t>
            </w:r>
          </w:p>
        </w:tc>
        <w:tc>
          <w:tcPr>
            <w:tcW w:type="dxa" w:w="108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All modules</w:t>
            </w:r>
          </w:p>
        </w:tc>
      </w:tr>
      <w:tr>
        <w:trPr>
          <w:cantSplit/>
        </w:trPr>
        <w:tc>
          <w:tcPr>
            <w:tcW w:type="dxa" w:w="2088"/>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Community Improvement Plans</w:t>
            </w:r>
          </w:p>
        </w:tc>
        <w:tc>
          <w:tcPr>
            <w:tcW w:type="dxa" w:w="1152"/>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10 observations</w:t>
            </w:r>
          </w:p>
        </w:tc>
        <w:tc>
          <w:tcPr>
            <w:tcW w:type="dxa" w:w="3384"/>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Outcome monitoring; consolidated mapping to incentives; forecasting; awareness/communication.</w:t>
            </w:r>
          </w:p>
        </w:tc>
        <w:tc>
          <w:tcPr>
            <w:tcW w:type="dxa" w:w="2304"/>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Actions target Q3 2026 through Q2 2027.</w:t>
            </w:r>
          </w:p>
        </w:tc>
        <w:tc>
          <w:tcPr>
            <w:tcW w:type="dxa" w:w="108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CIPs / incentives</w:t>
            </w:r>
          </w:p>
        </w:tc>
      </w:tr>
      <w:tr>
        <w:trPr>
          <w:cantSplit/>
        </w:trPr>
        <w:tc>
          <w:tcPr>
            <w:tcW w:type="dxa" w:w="2088"/>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Subdivision Review Process</w:t>
            </w:r>
          </w:p>
        </w:tc>
        <w:tc>
          <w:tcPr>
            <w:tcW w:type="dxa" w:w="1152"/>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Final Jun. 17, 2026</w:t>
            </w:r>
          </w:p>
        </w:tc>
        <w:tc>
          <w:tcPr>
            <w:tcW w:type="dxa" w:w="3384"/>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Streamlining, technology and information-sharing; jurisdictional scan.</w:t>
            </w:r>
          </w:p>
        </w:tc>
        <w:tc>
          <w:tcPr>
            <w:tcW w:type="dxa" w:w="2304"/>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Technology target Q1 2027; broader review timing into 2027.</w:t>
            </w:r>
          </w:p>
        </w:tc>
        <w:tc>
          <w:tcPr>
            <w:tcW w:type="dxa" w:w="108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Housing / planning</w:t>
            </w:r>
          </w:p>
        </w:tc>
      </w:tr>
      <w:tr>
        <w:trPr>
          <w:cantSplit/>
        </w:trPr>
        <w:tc>
          <w:tcPr>
            <w:tcW w:type="dxa" w:w="2088"/>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CEAP</w:t>
            </w:r>
          </w:p>
        </w:tc>
        <w:tc>
          <w:tcPr>
            <w:tcW w:type="dxa" w:w="1152"/>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17 observations</w:t>
            </w:r>
          </w:p>
        </w:tc>
        <w:tc>
          <w:tcPr>
            <w:tcW w:type="dxa" w:w="3384"/>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Plan measurability, funding, indicators, reporting and action ownership.</w:t>
            </w:r>
          </w:p>
        </w:tc>
        <w:tc>
          <w:tcPr>
            <w:tcW w:type="dxa" w:w="2304"/>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Final received Jun. 17, 2026; action-level follow-up needed.</w:t>
            </w:r>
          </w:p>
        </w:tc>
        <w:tc>
          <w:tcPr>
            <w:tcW w:type="dxa" w:w="108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Strategy / climate</w:t>
            </w:r>
          </w:p>
        </w:tc>
      </w:tr>
      <w:tr>
        <w:trPr>
          <w:cantSplit/>
        </w:trPr>
        <w:tc>
          <w:tcPr>
            <w:tcW w:type="dxa" w:w="2088"/>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Continuous Improvement</w:t>
            </w:r>
          </w:p>
        </w:tc>
        <w:tc>
          <w:tcPr>
            <w:tcW w:type="dxa" w:w="1152"/>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2026 plan</w:t>
            </w:r>
          </w:p>
        </w:tc>
        <w:tc>
          <w:tcPr>
            <w:tcW w:type="dxa" w:w="3384"/>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Efficiency/effectiveness of the program.</w:t>
            </w:r>
          </w:p>
        </w:tc>
        <w:tc>
          <w:tcPr>
            <w:tcW w:type="dxa" w:w="2304"/>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Planned Oct. 7, 2026 at Feb. plan date.</w:t>
            </w:r>
          </w:p>
        </w:tc>
        <w:tc>
          <w:tcPr>
            <w:tcW w:type="dxa" w:w="108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Future update</w:t>
            </w:r>
          </w:p>
        </w:tc>
      </w:tr>
      <w:tr>
        <w:trPr>
          <w:cantSplit/>
        </w:trPr>
        <w:tc>
          <w:tcPr>
            <w:tcW w:type="dxa" w:w="2088"/>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Privacy</w:t>
            </w:r>
          </w:p>
        </w:tc>
        <w:tc>
          <w:tcPr>
            <w:tcW w:type="dxa" w:w="1152"/>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2026 plan</w:t>
            </w:r>
          </w:p>
        </w:tc>
        <w:tc>
          <w:tcPr>
            <w:tcW w:type="dxa" w:w="3384"/>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Privacy governance and controls.</w:t>
            </w:r>
          </w:p>
        </w:tc>
        <w:tc>
          <w:tcPr>
            <w:tcW w:type="dxa" w:w="2304"/>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Planned Dec. 9, 2026 at Feb. plan date.</w:t>
            </w:r>
          </w:p>
        </w:tc>
        <w:tc>
          <w:tcPr>
            <w:tcW w:type="dxa" w:w="108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Future update</w:t>
            </w:r>
          </w:p>
        </w:tc>
      </w:tr>
    </w:tbl>
    <w:p>
      <w:pPr>
        <w:spacing w:after="0"/>
      </w:pPr>
    </w:p>
    <w:p>
      <w:pPr>
        <w:pStyle w:val="Heading2"/>
      </w:pPr>
      <w:r>
        <w:t>10.4 Follow-up quality screen</w:t>
      </w:r>
    </w:p>
    <w:p>
      <w:pPr>
        <w:spacing w:after="100"/>
      </w:pPr>
      <w:r>
        <w:t>At the February 25, 2026 follow-up cycle, MNP reported ten recommendations reviewed: three closed and seven on track. A strong public dashboard should show the original action, original/revised due dates, accountable owner, evidence submitted, auditor validation and closure rationale. Current summaries are useful, but not always decision-grade at that granularity.</w:t>
      </w:r>
    </w:p>
    <w:p>
      <w:pPr>
        <w:spacing w:before="40" w:after="100"/>
      </w:pPr>
      <w:r>
        <w:rPr>
          <w:rFonts w:ascii="Aptos" w:hAnsi="Aptos"/>
          <w:b/>
          <w:color w:val="2166A5"/>
          <w:sz w:val="14"/>
        </w:rPr>
        <w:t xml:space="preserve">SOURCE LOCK  </w:t>
      </w:r>
      <w:r>
        <w:rPr>
          <w:rFonts w:ascii="Aptos" w:hAnsi="Aptos"/>
          <w:b/>
          <w:color w:val="182433"/>
          <w:sz w:val="14"/>
        </w:rPr>
        <w:t>S20–S24</w:t>
      </w:r>
    </w:p>
    <w:p>
      <w:pPr>
        <w:pageBreakBefore/>
        <w:spacing w:after="60"/>
      </w:pPr>
      <w:r>
        <w:rPr>
          <w:rFonts w:ascii="Aptos" w:hAnsi="Aptos"/>
          <w:b/>
          <w:color w:val="2166A5"/>
          <w:sz w:val="16"/>
        </w:rPr>
        <w:t>PART 11</w:t>
      </w:r>
    </w:p>
    <w:p>
      <w:pPr>
        <w:pStyle w:val="Heading1"/>
      </w:pPr>
      <w:r>
        <w:t>Evidence-safe reforms and implementation sequence</w:t>
      </w:r>
    </w:p>
    <w:tbl>
      <w:tblPr>
        <w:tblW w:type="auto" w:w="0"/>
        <w:jc w:val="center"/>
        <w:tblLayout w:type="fixed"/>
        <w:tblLook w:firstColumn="1" w:firstRow="1" w:lastColumn="0" w:lastRow="0" w:noHBand="0" w:noVBand="1" w:val="04A0"/>
      </w:tblPr>
      <w:tblGrid>
        <w:gridCol w:w="2022"/>
        <w:gridCol w:w="2022"/>
        <w:gridCol w:w="2022"/>
        <w:gridCol w:w="2022"/>
        <w:gridCol w:w="2022"/>
      </w:tblGrid>
      <w:tr>
        <w:trPr>
          <w:tblHeader w:val="true"/>
        </w:trPr>
        <w:tc>
          <w:tcPr>
            <w:tcW w:type="dxa" w:w="432"/>
            <w:shd w:fill="17365D"/>
            <w:tcMar>
              <w:top w:w="90" w:type="dxa"/>
              <w:start w:w="90" w:type="dxa"/>
              <w:bottom w:w="90" w:type="dxa"/>
              <w:end w:w="90" w:type="dxa"/>
            </w:tcMar>
          </w:tcPr>
          <w:p>
            <w:pPr>
              <w:spacing w:after="0"/>
            </w:pPr>
            <w:r>
              <w:rPr>
                <w:rFonts w:ascii="Aptos" w:hAnsi="Aptos"/>
                <w:b/>
                <w:color w:val="FFFFFF"/>
                <w:sz w:val="13"/>
              </w:rPr>
              <w:t>#</w:t>
            </w:r>
          </w:p>
        </w:tc>
        <w:tc>
          <w:tcPr>
            <w:tcW w:type="dxa" w:w="2232"/>
            <w:shd w:fill="17365D"/>
            <w:tcMar>
              <w:top w:w="90" w:type="dxa"/>
              <w:start w:w="90" w:type="dxa"/>
              <w:bottom w:w="90" w:type="dxa"/>
              <w:end w:w="90" w:type="dxa"/>
            </w:tcMar>
          </w:tcPr>
          <w:p>
            <w:pPr>
              <w:spacing w:after="0"/>
            </w:pPr>
            <w:r>
              <w:rPr>
                <w:rFonts w:ascii="Aptos" w:hAnsi="Aptos"/>
                <w:b/>
                <w:color w:val="FFFFFF"/>
                <w:sz w:val="13"/>
              </w:rPr>
              <w:t>Reform</w:t>
            </w:r>
          </w:p>
        </w:tc>
        <w:tc>
          <w:tcPr>
            <w:tcW w:type="dxa" w:w="4680"/>
            <w:shd w:fill="17365D"/>
            <w:tcMar>
              <w:top w:w="90" w:type="dxa"/>
              <w:start w:w="90" w:type="dxa"/>
              <w:bottom w:w="90" w:type="dxa"/>
              <w:end w:w="90" w:type="dxa"/>
            </w:tcMar>
          </w:tcPr>
          <w:p>
            <w:pPr>
              <w:spacing w:after="0"/>
            </w:pPr>
            <w:r>
              <w:rPr>
                <w:rFonts w:ascii="Aptos" w:hAnsi="Aptos"/>
                <w:b/>
                <w:color w:val="FFFFFF"/>
                <w:sz w:val="13"/>
              </w:rPr>
              <w:t>Minimum fields</w:t>
            </w:r>
          </w:p>
        </w:tc>
        <w:tc>
          <w:tcPr>
            <w:tcW w:type="dxa" w:w="1512"/>
            <w:shd w:fill="17365D"/>
            <w:tcMar>
              <w:top w:w="90" w:type="dxa"/>
              <w:start w:w="90" w:type="dxa"/>
              <w:bottom w:w="90" w:type="dxa"/>
              <w:end w:w="90" w:type="dxa"/>
            </w:tcMar>
          </w:tcPr>
          <w:p>
            <w:pPr>
              <w:spacing w:after="0"/>
            </w:pPr>
            <w:r>
              <w:rPr>
                <w:rFonts w:ascii="Aptos" w:hAnsi="Aptos"/>
                <w:b/>
                <w:color w:val="FFFFFF"/>
                <w:sz w:val="13"/>
              </w:rPr>
              <w:t>Cadence</w:t>
            </w:r>
          </w:p>
        </w:tc>
        <w:tc>
          <w:tcPr>
            <w:tcW w:type="dxa" w:w="1224"/>
            <w:shd w:fill="17365D"/>
            <w:tcMar>
              <w:top w:w="90" w:type="dxa"/>
              <w:start w:w="90" w:type="dxa"/>
              <w:bottom w:w="90" w:type="dxa"/>
              <w:end w:w="90" w:type="dxa"/>
            </w:tcMar>
          </w:tcPr>
          <w:p>
            <w:pPr>
              <w:spacing w:after="0"/>
            </w:pPr>
            <w:r>
              <w:rPr>
                <w:rFonts w:ascii="Aptos" w:hAnsi="Aptos"/>
                <w:b/>
                <w:color w:val="FFFFFF"/>
                <w:sz w:val="13"/>
              </w:rPr>
              <w:t>Home</w:t>
            </w:r>
          </w:p>
        </w:tc>
      </w:tr>
      <w:tr>
        <w:trPr>
          <w:cantSplit/>
        </w:trPr>
        <w:tc>
          <w:tcPr>
            <w:tcW w:type="dxa" w:w="432"/>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1</w:t>
            </w:r>
          </w:p>
        </w:tc>
        <w:tc>
          <w:tcPr>
            <w:tcW w:type="dxa" w:w="2232"/>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Major-project reconciliation ledger</w:t>
            </w:r>
          </w:p>
        </w:tc>
        <w:tc>
          <w:tcPr>
            <w:tcW w:type="dxa" w:w="468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Original authority, baseline budget/schedule, current FAC, award, amendments, commitments, payments, physical progress and closeout under one project ID.</w:t>
            </w:r>
          </w:p>
        </w:tc>
        <w:tc>
          <w:tcPr>
            <w:tcW w:type="dxa" w:w="1512"/>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Quarterly</w:t>
            </w:r>
          </w:p>
        </w:tc>
        <w:tc>
          <w:tcPr>
            <w:tcW w:type="dxa" w:w="1224"/>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Capital dashboard</w:t>
            </w:r>
          </w:p>
        </w:tc>
      </w:tr>
      <w:tr>
        <w:trPr>
          <w:cantSplit/>
        </w:trPr>
        <w:tc>
          <w:tcPr>
            <w:tcW w:type="dxa" w:w="432"/>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2</w:t>
            </w:r>
          </w:p>
        </w:tc>
        <w:tc>
          <w:tcPr>
            <w:tcW w:type="dxa" w:w="2232"/>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Procurement award + amendment ledger</w:t>
            </w:r>
          </w:p>
        </w:tc>
        <w:tc>
          <w:tcPr>
            <w:tcW w:type="dxa" w:w="468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Vendor, value, solicitation, bids, authority, policy version, limited-tendering reason, amendments and performance status.</w:t>
            </w:r>
          </w:p>
        </w:tc>
        <w:tc>
          <w:tcPr>
            <w:tcW w:type="dxa" w:w="1512"/>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Monthly + biannual certification</w:t>
            </w:r>
          </w:p>
        </w:tc>
        <w:tc>
          <w:tcPr>
            <w:tcW w:type="dxa" w:w="1224"/>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Open data</w:t>
            </w:r>
          </w:p>
        </w:tc>
      </w:tr>
      <w:tr>
        <w:trPr>
          <w:cantSplit/>
        </w:trPr>
        <w:tc>
          <w:tcPr>
            <w:tcW w:type="dxa" w:w="432"/>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3</w:t>
            </w:r>
          </w:p>
        </w:tc>
        <w:tc>
          <w:tcPr>
            <w:tcW w:type="dxa" w:w="2232"/>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Grant/CIP outcomes ledger</w:t>
            </w:r>
          </w:p>
        </w:tc>
        <w:tc>
          <w:tcPr>
            <w:tcW w:type="dxa" w:w="468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Score, rationale, requested/approved/paid, agreement milestones, output, outcome, closeout and clawback.</w:t>
            </w:r>
          </w:p>
        </w:tc>
        <w:tc>
          <w:tcPr>
            <w:tcW w:type="dxa" w:w="1512"/>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Annual + live status</w:t>
            </w:r>
          </w:p>
        </w:tc>
        <w:tc>
          <w:tcPr>
            <w:tcW w:type="dxa" w:w="1224"/>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Program pages</w:t>
            </w:r>
          </w:p>
        </w:tc>
      </w:tr>
      <w:tr>
        <w:trPr>
          <w:cantSplit/>
        </w:trPr>
        <w:tc>
          <w:tcPr>
            <w:tcW w:type="dxa" w:w="432"/>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4</w:t>
            </w:r>
          </w:p>
        </w:tc>
        <w:tc>
          <w:tcPr>
            <w:tcW w:type="dxa" w:w="2232"/>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Housing cohort pipeline</w:t>
            </w:r>
          </w:p>
        </w:tc>
        <w:tc>
          <w:tcPr>
            <w:tcW w:type="dxa" w:w="468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Application → permit → start → completion → occupancy → affordability monitoring under stable project/address IDs.</w:t>
            </w:r>
          </w:p>
        </w:tc>
        <w:tc>
          <w:tcPr>
            <w:tcW w:type="dxa" w:w="1512"/>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Monthly</w:t>
            </w:r>
          </w:p>
        </w:tc>
        <w:tc>
          <w:tcPr>
            <w:tcW w:type="dxa" w:w="1224"/>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Housing dashboard</w:t>
            </w:r>
          </w:p>
        </w:tc>
      </w:tr>
      <w:tr>
        <w:trPr>
          <w:cantSplit/>
        </w:trPr>
        <w:tc>
          <w:tcPr>
            <w:tcW w:type="dxa" w:w="432"/>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5</w:t>
            </w:r>
          </w:p>
        </w:tc>
        <w:tc>
          <w:tcPr>
            <w:tcW w:type="dxa" w:w="2232"/>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Workforce complement spine</w:t>
            </w:r>
          </w:p>
        </w:tc>
        <w:tc>
          <w:tcPr>
            <w:tcW w:type="dxa" w:w="468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Budgeted/filled FTE, vacancies, layers, spans, overtime, turnover, leave and contractor equivalent by service.</w:t>
            </w:r>
          </w:p>
        </w:tc>
        <w:tc>
          <w:tcPr>
            <w:tcW w:type="dxa" w:w="1512"/>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Quarterly</w:t>
            </w:r>
          </w:p>
        </w:tc>
        <w:tc>
          <w:tcPr>
            <w:tcW w:type="dxa" w:w="1224"/>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Corporate performance</w:t>
            </w:r>
          </w:p>
        </w:tc>
      </w:tr>
      <w:tr>
        <w:trPr>
          <w:cantSplit/>
        </w:trPr>
        <w:tc>
          <w:tcPr>
            <w:tcW w:type="dxa" w:w="432"/>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6</w:t>
            </w:r>
          </w:p>
        </w:tc>
        <w:tc>
          <w:tcPr>
            <w:tcW w:type="dxa" w:w="2232"/>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Service KPI dictionary</w:t>
            </w:r>
          </w:p>
        </w:tc>
        <w:tc>
          <w:tcPr>
            <w:tcW w:type="dxa" w:w="468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Baseline, target, actual, cost, quality, equity, source, owner and revision history for every reported KPI.</w:t>
            </w:r>
          </w:p>
        </w:tc>
        <w:tc>
          <w:tcPr>
            <w:tcW w:type="dxa" w:w="1512"/>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Annual dictionary; quarterly data</w:t>
            </w:r>
          </w:p>
        </w:tc>
        <w:tc>
          <w:tcPr>
            <w:tcW w:type="dxa" w:w="1224"/>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Performance portal</w:t>
            </w:r>
          </w:p>
        </w:tc>
      </w:tr>
      <w:tr>
        <w:trPr>
          <w:cantSplit/>
        </w:trPr>
        <w:tc>
          <w:tcPr>
            <w:tcW w:type="dxa" w:w="432"/>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7</w:t>
            </w:r>
          </w:p>
        </w:tc>
        <w:tc>
          <w:tcPr>
            <w:tcW w:type="dxa" w:w="2232"/>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Internal-audit action register</w:t>
            </w:r>
          </w:p>
        </w:tc>
        <w:tc>
          <w:tcPr>
            <w:tcW w:type="dxa" w:w="468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Full observation, management action, owner, dates, evidence and auditor closure rationale.</w:t>
            </w:r>
          </w:p>
        </w:tc>
        <w:tc>
          <w:tcPr>
            <w:tcW w:type="dxa" w:w="1512"/>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Each Audit Committee cycle</w:t>
            </w:r>
          </w:p>
        </w:tc>
        <w:tc>
          <w:tcPr>
            <w:tcW w:type="dxa" w:w="1224"/>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3"/>
              </w:rPr>
              <w:t>Audit page</w:t>
            </w:r>
          </w:p>
        </w:tc>
      </w:tr>
    </w:tbl>
    <w:p>
      <w:pPr>
        <w:spacing w:after="0"/>
      </w:pPr>
    </w:p>
    <w:p>
      <w:pPr>
        <w:pStyle w:val="Heading2"/>
      </w:pPr>
      <w:r>
        <w:t>90-day sequence</w:t>
      </w:r>
    </w:p>
    <w:tbl>
      <w:tblPr>
        <w:tblW w:type="auto" w:w="0"/>
        <w:jc w:val="center"/>
        <w:tblLayout w:type="fixed"/>
        <w:tblLook w:firstColumn="1" w:firstRow="1" w:lastColumn="0" w:lastRow="0" w:noHBand="0" w:noVBand="1" w:val="04A0"/>
      </w:tblPr>
      <w:tblGrid>
        <w:gridCol w:w="3369"/>
        <w:gridCol w:w="3369"/>
        <w:gridCol w:w="3369"/>
      </w:tblGrid>
      <w:tr>
        <w:trPr>
          <w:tblHeader w:val="true"/>
        </w:trPr>
        <w:tc>
          <w:tcPr>
            <w:tcW w:type="dxa" w:w="1440"/>
            <w:shd w:fill="17365D"/>
            <w:tcMar>
              <w:top w:w="90" w:type="dxa"/>
              <w:start w:w="90" w:type="dxa"/>
              <w:bottom w:w="90" w:type="dxa"/>
              <w:end w:w="90" w:type="dxa"/>
            </w:tcMar>
          </w:tcPr>
          <w:p>
            <w:pPr>
              <w:spacing w:after="0"/>
            </w:pPr>
            <w:r>
              <w:rPr>
                <w:rFonts w:ascii="Aptos" w:hAnsi="Aptos"/>
                <w:b/>
                <w:color w:val="FFFFFF"/>
                <w:sz w:val="15"/>
              </w:rPr>
              <w:t>Window</w:t>
            </w:r>
          </w:p>
        </w:tc>
        <w:tc>
          <w:tcPr>
            <w:tcW w:type="dxa" w:w="5688"/>
            <w:shd w:fill="17365D"/>
            <w:tcMar>
              <w:top w:w="90" w:type="dxa"/>
              <w:start w:w="90" w:type="dxa"/>
              <w:bottom w:w="90" w:type="dxa"/>
              <w:end w:w="90" w:type="dxa"/>
            </w:tcMar>
          </w:tcPr>
          <w:p>
            <w:pPr>
              <w:spacing w:after="0"/>
            </w:pPr>
            <w:r>
              <w:rPr>
                <w:rFonts w:ascii="Aptos" w:hAnsi="Aptos"/>
                <w:b/>
                <w:color w:val="FFFFFF"/>
                <w:sz w:val="15"/>
              </w:rPr>
              <w:t>Action</w:t>
            </w:r>
          </w:p>
        </w:tc>
        <w:tc>
          <w:tcPr>
            <w:tcW w:type="dxa" w:w="2736"/>
            <w:shd w:fill="17365D"/>
            <w:tcMar>
              <w:top w:w="90" w:type="dxa"/>
              <w:start w:w="90" w:type="dxa"/>
              <w:bottom w:w="90" w:type="dxa"/>
              <w:end w:w="90" w:type="dxa"/>
            </w:tcMar>
          </w:tcPr>
          <w:p>
            <w:pPr>
              <w:spacing w:after="0"/>
            </w:pPr>
            <w:r>
              <w:rPr>
                <w:rFonts w:ascii="Aptos" w:hAnsi="Aptos"/>
                <w:b/>
                <w:color w:val="FFFFFF"/>
                <w:sz w:val="15"/>
              </w:rPr>
              <w:t>Deliverable</w:t>
            </w:r>
          </w:p>
        </w:tc>
      </w:tr>
      <w:tr>
        <w:trPr>
          <w:cantSplit/>
        </w:trPr>
        <w:tc>
          <w:tcPr>
            <w:tcW w:type="dxa" w:w="144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5"/>
              </w:rPr>
              <w:t>Days 0–30</w:t>
            </w:r>
          </w:p>
        </w:tc>
        <w:tc>
          <w:tcPr>
            <w:tcW w:type="dxa" w:w="5688"/>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5"/>
              </w:rPr>
              <w:t>File R1–R6; ask for fee estimates, index first, rolling production and machine-readable native formats.</w:t>
            </w:r>
          </w:p>
        </w:tc>
        <w:tc>
          <w:tcPr>
            <w:tcW w:type="dxa" w:w="2736"/>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5"/>
              </w:rPr>
              <w:t>Acknowledgements, custodians, search terms, production schedule.</w:t>
            </w:r>
          </w:p>
        </w:tc>
      </w:tr>
      <w:tr>
        <w:trPr>
          <w:cantSplit/>
        </w:trPr>
        <w:tc>
          <w:tcPr>
            <w:tcW w:type="dxa" w:w="144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5"/>
              </w:rPr>
              <w:t>Days 31–60</w:t>
            </w:r>
          </w:p>
        </w:tc>
        <w:tc>
          <w:tcPr>
            <w:tcW w:type="dxa" w:w="5688"/>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5"/>
              </w:rPr>
              <w:t>Normalize identifiers; rebuild joins; send factual clarification questions before classifying exceptions.</w:t>
            </w:r>
          </w:p>
        </w:tc>
        <w:tc>
          <w:tcPr>
            <w:tcW w:type="dxa" w:w="2736"/>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5"/>
              </w:rPr>
              <w:t>Project/procurement/grant/housing master tables.</w:t>
            </w:r>
          </w:p>
        </w:tc>
      </w:tr>
      <w:tr>
        <w:trPr>
          <w:cantSplit/>
        </w:trPr>
        <w:tc>
          <w:tcPr>
            <w:tcW w:type="dxa" w:w="144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5"/>
              </w:rPr>
              <w:t>Days 61–90</w:t>
            </w:r>
          </w:p>
        </w:tc>
        <w:tc>
          <w:tcPr>
            <w:tcW w:type="dxa" w:w="5688"/>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5"/>
              </w:rPr>
              <w:t>Publish exceptions with City responses, document versions and reproducible calculations.</w:t>
            </w:r>
          </w:p>
        </w:tc>
        <w:tc>
          <w:tcPr>
            <w:tcW w:type="dxa" w:w="2736"/>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5"/>
              </w:rPr>
              <w:t>Edition 5.1 transaction supplement; no change to verified baseline without source.</w:t>
            </w:r>
          </w:p>
        </w:tc>
      </w:tr>
    </w:tbl>
    <w:p>
      <w:pPr>
        <w:spacing w:after="0"/>
      </w:pPr>
    </w:p>
    <w:tbl>
      <w:tblPr>
        <w:tblW w:type="auto" w:w="0"/>
        <w:jc w:val="center"/>
        <w:tblLayout w:type="fixed"/>
        <w:tblLook w:firstColumn="1" w:firstRow="1" w:lastColumn="0" w:lastRow="0" w:noHBand="0" w:noVBand="1" w:val="04A0"/>
      </w:tblPr>
      <w:tblGrid>
        <w:gridCol w:w="115"/>
        <w:gridCol w:w="9648"/>
      </w:tblGrid>
      <w:tr>
        <w:trPr>
          <w:cantSplit/>
        </w:trPr>
        <w:tc>
          <w:tcPr>
            <w:tcW w:type="dxa" w:w="5054"/>
            <w:shd w:fill="2F7D5A"/>
            <w:tcMar>
              <w:top w:w="0" w:type="dxa"/>
              <w:start w:w="0" w:type="dxa"/>
              <w:bottom w:w="0" w:type="dxa"/>
              <w:end w:w="0" w:type="dxa"/>
            </w:tcMar>
          </w:tcPr>
          <w:p/>
        </w:tc>
        <w:tc>
          <w:tcPr>
            <w:tcW w:type="dxa" w:w="5054"/>
            <w:shd w:fill="E4F2EA"/>
            <w:tcMar>
              <w:top w:w="130" w:type="dxa"/>
              <w:start w:w="160" w:type="dxa"/>
              <w:bottom w:w="130" w:type="dxa"/>
              <w:end w:w="160" w:type="dxa"/>
            </w:tcMar>
            <w:tcBorders>
              <w:top w:val="single" w:sz="4" w:color="CBD6E0"/>
              <w:bottom w:val="single" w:sz="4" w:color="CBD6E0"/>
              <w:right w:val="single" w:sz="4" w:color="CBD6E0"/>
            </w:tcBorders>
          </w:tcPr>
          <w:p>
            <w:pPr>
              <w:spacing w:after="60"/>
            </w:pPr>
            <w:r>
              <w:rPr>
                <w:rFonts w:ascii="Aptos" w:hAnsi="Aptos"/>
                <w:b/>
                <w:color w:val="2F7D5A"/>
                <w:sz w:val="18"/>
              </w:rPr>
              <w:t>Priority order</w:t>
            </w:r>
          </w:p>
          <w:p>
            <w:pPr>
              <w:spacing w:after="0" w:line="252" w:lineRule="auto"/>
            </w:pPr>
            <w:r>
              <w:t>1) capital project controls and amendments; 2) procurement bid/amendment join; 3) housing/grant project-level outcomes; 4) workforce and service productivity. This ordering targets the largest risk of public misinterpretation first.</w:t>
            </w:r>
          </w:p>
        </w:tc>
      </w:tr>
    </w:tbl>
    <w:p>
      <w:pPr>
        <w:spacing w:after="0"/>
      </w:pPr>
    </w:p>
    <w:p>
      <w:pPr>
        <w:spacing w:after="60"/>
      </w:pPr>
      <w:r>
        <w:rPr>
          <w:rFonts w:ascii="Aptos" w:hAnsi="Aptos"/>
          <w:b/>
          <w:color w:val="2166A5"/>
          <w:sz w:val="16"/>
        </w:rPr>
        <w:t>APPENDIX A</w:t>
      </w:r>
    </w:p>
    <w:p>
      <w:pPr>
        <w:pStyle w:val="Heading1"/>
      </w:pPr>
      <w:r>
        <w:t>Filing-ready records-request package</w:t>
      </w:r>
    </w:p>
    <w:p>
      <w:pPr>
        <w:spacing w:after="100"/>
      </w:pPr>
      <w:r>
        <w:t>These requests are drafted for the City of London under Ontario’s Municipal Freedom of Information and Protection of Privacy Act (MFIPPA). They intentionally ask for existing records, native exports and field definitions—not for staff to create analysis. Before filing, confirm the City’s current form, fee and submission channel.</w:t>
      </w:r>
    </w:p>
    <w:tbl>
      <w:tblPr>
        <w:tblW w:type="auto" w:w="0"/>
        <w:jc w:val="center"/>
        <w:tblLayout w:type="fixed"/>
        <w:tblLook w:firstColumn="1" w:firstRow="1" w:lastColumn="0" w:lastRow="0" w:noHBand="0" w:noVBand="1" w:val="04A0"/>
      </w:tblPr>
      <w:tblGrid>
        <w:gridCol w:w="115"/>
        <w:gridCol w:w="9648"/>
      </w:tblGrid>
      <w:tr>
        <w:tc>
          <w:tcPr>
            <w:tcW w:type="dxa" w:w="5054"/>
            <w:shd w:fill="2166A5"/>
            <w:tcMar>
              <w:top w:w="0" w:type="dxa"/>
              <w:start w:w="0" w:type="dxa"/>
              <w:bottom w:w="0" w:type="dxa"/>
              <w:end w:w="0" w:type="dxa"/>
            </w:tcMar>
          </w:tcPr>
          <w:p/>
        </w:tc>
        <w:tc>
          <w:tcPr>
            <w:tcW w:type="dxa" w:w="5054"/>
            <w:shd w:fill="EFF5F9"/>
            <w:tcMar>
              <w:top w:w="130" w:type="dxa"/>
              <w:start w:w="160" w:type="dxa"/>
              <w:bottom w:w="130" w:type="dxa"/>
              <w:end w:w="160" w:type="dxa"/>
            </w:tcMar>
            <w:tcBorders>
              <w:top w:val="single" w:sz="4" w:color="CBD6E0"/>
              <w:bottom w:val="single" w:sz="4" w:color="CBD6E0"/>
              <w:right w:val="single" w:sz="4" w:color="CBD6E0"/>
            </w:tcBorders>
          </w:tcPr>
          <w:p>
            <w:pPr>
              <w:spacing w:after="60"/>
            </w:pPr>
            <w:r>
              <w:rPr>
                <w:rFonts w:ascii="Aptos" w:hAnsi="Aptos"/>
                <w:b/>
                <w:color w:val="2166A5"/>
                <w:sz w:val="18"/>
              </w:rPr>
              <w:t>Common instructions for all six requests</w:t>
            </w:r>
          </w:p>
          <w:p>
            <w:pPr>
              <w:spacing w:after="0" w:line="252" w:lineRule="auto"/>
            </w:pPr>
            <w:r>
              <w:t>Provide records electronically in native machine-readable format where available (CSV/XLSX/database export; searchable PDF for documents). Include a record index and data dictionary. Apply severance rather than withholding whole records. Identify each exemption relied upon. If volume is high, provide an index and fee estimate first, then rolling production. Exclude personal information not needed for the audit.</w:t>
            </w:r>
          </w:p>
        </w:tc>
      </w:tr>
    </w:tbl>
    <w:p>
      <w:pPr>
        <w:spacing w:after="0"/>
      </w:pPr>
    </w:p>
    <w:p>
      <w:pPr>
        <w:spacing w:after="60"/>
      </w:pPr>
      <w:r>
        <w:rPr>
          <w:rFonts w:ascii="Aptos" w:hAnsi="Aptos"/>
          <w:b/>
          <w:color w:val="2166A5"/>
          <w:sz w:val="16"/>
        </w:rPr>
        <w:t>RECORDS REQUEST R1</w:t>
      </w:r>
    </w:p>
    <w:p>
      <w:pPr>
        <w:pStyle w:val="Heading1"/>
      </w:pPr>
      <w:r>
        <w:t>Major capital project controls</w:t>
      </w:r>
    </w:p>
    <w:tbl>
      <w:tblPr>
        <w:tblW w:type="auto" w:w="0"/>
        <w:jc w:val="center"/>
        <w:tblLayout w:type="fixed"/>
        <w:tblLook w:firstColumn="1" w:firstRow="1" w:lastColumn="0" w:lastRow="0" w:noHBand="0" w:noVBand="1" w:val="04A0"/>
      </w:tblPr>
      <w:tblGrid>
        <w:gridCol w:w="3369"/>
        <w:gridCol w:w="3369"/>
        <w:gridCol w:w="3369"/>
      </w:tblGrid>
      <w:tr>
        <w:trPr>
          <w:tblHeader w:val="true"/>
        </w:trPr>
        <w:tc>
          <w:tcPr>
            <w:tcW w:type="dxa" w:w="3456"/>
            <w:shd w:fill="17365D"/>
            <w:tcMar>
              <w:top w:w="90" w:type="dxa"/>
              <w:start w:w="90" w:type="dxa"/>
              <w:bottom w:w="90" w:type="dxa"/>
              <w:end w:w="90" w:type="dxa"/>
            </w:tcMar>
          </w:tcPr>
          <w:p>
            <w:pPr>
              <w:spacing w:after="0"/>
            </w:pPr>
            <w:r>
              <w:rPr>
                <w:rFonts w:ascii="Aptos" w:hAnsi="Aptos"/>
                <w:b/>
                <w:color w:val="FFFFFF"/>
                <w:sz w:val="15"/>
              </w:rPr>
              <w:t>Custodian(s)</w:t>
            </w:r>
          </w:p>
        </w:tc>
        <w:tc>
          <w:tcPr>
            <w:tcW w:type="dxa" w:w="2160"/>
            <w:shd w:fill="17365D"/>
            <w:tcMar>
              <w:top w:w="90" w:type="dxa"/>
              <w:start w:w="90" w:type="dxa"/>
              <w:bottom w:w="90" w:type="dxa"/>
              <w:end w:w="90" w:type="dxa"/>
            </w:tcMar>
          </w:tcPr>
          <w:p>
            <w:pPr>
              <w:spacing w:after="0"/>
            </w:pPr>
            <w:r>
              <w:rPr>
                <w:rFonts w:ascii="Aptos" w:hAnsi="Aptos"/>
                <w:b/>
                <w:color w:val="FFFFFF"/>
                <w:sz w:val="15"/>
              </w:rPr>
              <w:t>Period</w:t>
            </w:r>
          </w:p>
        </w:tc>
        <w:tc>
          <w:tcPr>
            <w:tcW w:type="dxa" w:w="4176"/>
            <w:shd w:fill="17365D"/>
            <w:tcMar>
              <w:top w:w="90" w:type="dxa"/>
              <w:start w:w="90" w:type="dxa"/>
              <w:bottom w:w="90" w:type="dxa"/>
              <w:end w:w="90" w:type="dxa"/>
            </w:tcMar>
          </w:tcPr>
          <w:p>
            <w:pPr>
              <w:spacing w:after="0"/>
            </w:pPr>
            <w:r>
              <w:rPr>
                <w:rFonts w:ascii="Aptos" w:hAnsi="Aptos"/>
                <w:b/>
                <w:color w:val="FFFFFF"/>
                <w:sz w:val="15"/>
              </w:rPr>
              <w:t>Preferred format</w:t>
            </w:r>
          </w:p>
        </w:tc>
      </w:tr>
      <w:tr>
        <w:trPr>
          <w:cantSplit/>
        </w:trPr>
        <w:tc>
          <w:tcPr>
            <w:tcW w:type="dxa" w:w="3456"/>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5"/>
              </w:rPr>
              <w:t>Environment &amp; Infrastructure; Finance; LTC for Highbury</w:t>
            </w:r>
          </w:p>
        </w:tc>
        <w:tc>
          <w:tcPr>
            <w:tcW w:type="dxa" w:w="216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5"/>
              </w:rPr>
              <w:t>2014-01-01 to 2026-08-20</w:t>
            </w:r>
          </w:p>
        </w:tc>
        <w:tc>
          <w:tcPr>
            <w:tcW w:type="dxa" w:w="4176"/>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5"/>
              </w:rPr>
              <w:t>Native CSV/XLSX/export + searchable PDFs + index/data dictionary</w:t>
            </w:r>
          </w:p>
        </w:tc>
      </w:tr>
    </w:tbl>
    <w:p>
      <w:pPr>
        <w:spacing w:after="0"/>
      </w:pPr>
    </w:p>
    <w:p>
      <w:pPr>
        <w:pStyle w:val="Heading2"/>
      </w:pPr>
      <w:r>
        <w:t>Records requested</w:t>
      </w:r>
    </w:p>
    <w:p>
      <w:pPr>
        <w:pStyle w:val="ListNumber"/>
        <w:spacing w:after="20"/>
        <w:ind w:left="403" w:hanging="259"/>
      </w:pPr>
      <w:r>
        <w:rPr>
          <w:sz w:val="16"/>
        </w:rPr>
        <w:t>Highbury Facility rebuild; Mud Creek East Branch Phase 2; Springbank Dam decommissioning/Back to the River Stage 1; Wharncliffe Road South/Horton intersection; Fanshawe campus grant project GG1721-6; and every City capital project with current total budget ≥$10M.</w:t>
      </w:r>
    </w:p>
    <w:p>
      <w:pPr>
        <w:pStyle w:val="ListNumber"/>
        <w:spacing w:after="20"/>
        <w:ind w:left="403" w:hanging="259"/>
      </w:pPr>
      <w:r>
        <w:rPr>
          <w:sz w:val="16"/>
        </w:rPr>
        <w:t>Project charter/business case; original and current approved scope, budget and schedule; all budget transfers; baseline and current forecast-at-completion; monthly/quarterly project-control reports; risk/issue/change logs; percent complete; substantial-performance and closeout records.</w:t>
      </w:r>
    </w:p>
    <w:p>
      <w:pPr>
        <w:pStyle w:val="ListNumber"/>
        <w:spacing w:after="20"/>
        <w:ind w:left="403" w:hanging="259"/>
      </w:pPr>
      <w:r>
        <w:rPr>
          <w:sz w:val="16"/>
        </w:rPr>
        <w:t>Award, consultant and contractor identifiers; commitments, invoices-to-date and retainage totals; funding-source history by project.</w:t>
      </w:r>
    </w:p>
    <w:p>
      <w:pPr>
        <w:pStyle w:val="Heading2"/>
      </w:pPr>
      <w:r>
        <w:t>Required fields / structure</w:t>
      </w:r>
    </w:p>
    <w:p>
      <w:pPr>
        <w:spacing w:after="60"/>
      </w:pPr>
      <w:r>
        <w:t>Stable project ID, project name, sponsor, manager, budget vintage, original/current budget, committed, actual, FAC, schedule baseline/current, percent complete, change ID/value/reason/approval, risk rating, closeout date.</w:t>
      </w:r>
    </w:p>
    <w:p>
      <w:pPr>
        <w:pStyle w:val="Heading2"/>
      </w:pPr>
      <w:r>
        <w:t>Search and processing direction</w:t>
      </w:r>
    </w:p>
    <w:p>
      <w:pPr>
        <w:pStyle w:val="ListBullet"/>
        <w:spacing w:after="20"/>
        <w:ind w:left="317" w:hanging="173"/>
      </w:pPr>
      <w:r>
        <w:rPr>
          <w:sz w:val="15"/>
        </w:rPr>
        <w:t>Search shared drives, project systems, ERP/financial systems, procurement systems, records-management repositories and official email accounts of the responsible project/program managers where responsive records are not in the systems of record.</w:t>
      </w:r>
    </w:p>
    <w:p>
      <w:pPr>
        <w:pStyle w:val="ListBullet"/>
        <w:spacing w:after="20"/>
        <w:ind w:left="317" w:hanging="173"/>
      </w:pPr>
      <w:r>
        <w:rPr>
          <w:sz w:val="15"/>
        </w:rPr>
        <w:t>Provide a list of custodians, systems searched, date search completed and any retention/destruction schedule affecting the period.</w:t>
      </w:r>
    </w:p>
    <w:p>
      <w:pPr>
        <w:pStyle w:val="ListBullet"/>
        <w:spacing w:after="20"/>
        <w:ind w:left="317" w:hanging="173"/>
      </w:pPr>
      <w:r>
        <w:rPr>
          <w:sz w:val="15"/>
        </w:rPr>
        <w:t>If a field is not held, mark it 'not held' rather than leaving it blank; if records are withheld, identify the MFIPPA exemption and number of records/pages affected.</w:t>
      </w:r>
    </w:p>
    <w:p>
      <w:pPr>
        <w:pStyle w:val="ListBullet"/>
        <w:spacing w:after="20"/>
        <w:ind w:left="317" w:hanging="173"/>
      </w:pPr>
      <w:r>
        <w:rPr>
          <w:sz w:val="15"/>
        </w:rPr>
        <w:t>Please contact the requester before incurring fees above $100 and provide options to narrow by project, year or record type.</w:t>
      </w:r>
    </w:p>
    <w:p>
      <w:pPr>
        <w:pageBreakBefore/>
        <w:spacing w:after="160" w:line="280" w:lineRule="exact"/>
      </w:pPr>
      <w:r>
        <w:rPr>
          <w:sz w:val="28"/>
        </w:rPr>
        <w:t xml:space="preserve"> </w:t>
      </w:r>
    </w:p>
    <w:p>
      <w:pPr>
        <w:pageBreakBefore w:val="0"/>
        <w:spacing w:after="60"/>
      </w:pPr>
      <w:r>
        <w:rPr>
          <w:rFonts w:ascii="Aptos" w:hAnsi="Aptos"/>
          <w:b/>
          <w:color w:val="2166A5"/>
          <w:sz w:val="16"/>
        </w:rPr>
        <w:t>RECORDS REQUEST R2</w:t>
      </w:r>
    </w:p>
    <w:p>
      <w:pPr>
        <w:pStyle w:val="Heading1"/>
      </w:pPr>
      <w:r>
        <w:t>Procurement bids, exceptions and amendments</w:t>
      </w:r>
    </w:p>
    <w:tbl>
      <w:tblPr>
        <w:tblW w:type="auto" w:w="0"/>
        <w:jc w:val="center"/>
        <w:tblLayout w:type="fixed"/>
        <w:tblLook w:firstColumn="1" w:firstRow="1" w:lastColumn="0" w:lastRow="0" w:noHBand="0" w:noVBand="1" w:val="04A0"/>
      </w:tblPr>
      <w:tblGrid>
        <w:gridCol w:w="3369"/>
        <w:gridCol w:w="3369"/>
        <w:gridCol w:w="3369"/>
      </w:tblGrid>
      <w:tr>
        <w:trPr>
          <w:tblHeader w:val="true"/>
        </w:trPr>
        <w:tc>
          <w:tcPr>
            <w:tcW w:type="dxa" w:w="3456"/>
            <w:shd w:fill="17365D"/>
            <w:tcMar>
              <w:top w:w="90" w:type="dxa"/>
              <w:start w:w="90" w:type="dxa"/>
              <w:bottom w:w="90" w:type="dxa"/>
              <w:end w:w="90" w:type="dxa"/>
            </w:tcMar>
          </w:tcPr>
          <w:p>
            <w:pPr>
              <w:spacing w:after="0"/>
            </w:pPr>
            <w:r>
              <w:rPr>
                <w:rFonts w:ascii="Aptos" w:hAnsi="Aptos"/>
                <w:b/>
                <w:color w:val="FFFFFF"/>
                <w:sz w:val="15"/>
              </w:rPr>
              <w:t>Custodian(s)</w:t>
            </w:r>
          </w:p>
        </w:tc>
        <w:tc>
          <w:tcPr>
            <w:tcW w:type="dxa" w:w="2160"/>
            <w:shd w:fill="17365D"/>
            <w:tcMar>
              <w:top w:w="90" w:type="dxa"/>
              <w:start w:w="90" w:type="dxa"/>
              <w:bottom w:w="90" w:type="dxa"/>
              <w:end w:w="90" w:type="dxa"/>
            </w:tcMar>
          </w:tcPr>
          <w:p>
            <w:pPr>
              <w:spacing w:after="0"/>
            </w:pPr>
            <w:r>
              <w:rPr>
                <w:rFonts w:ascii="Aptos" w:hAnsi="Aptos"/>
                <w:b/>
                <w:color w:val="FFFFFF"/>
                <w:sz w:val="15"/>
              </w:rPr>
              <w:t>Period</w:t>
            </w:r>
          </w:p>
        </w:tc>
        <w:tc>
          <w:tcPr>
            <w:tcW w:type="dxa" w:w="4176"/>
            <w:shd w:fill="17365D"/>
            <w:tcMar>
              <w:top w:w="90" w:type="dxa"/>
              <w:start w:w="90" w:type="dxa"/>
              <w:bottom w:w="90" w:type="dxa"/>
              <w:end w:w="90" w:type="dxa"/>
            </w:tcMar>
          </w:tcPr>
          <w:p>
            <w:pPr>
              <w:spacing w:after="0"/>
            </w:pPr>
            <w:r>
              <w:rPr>
                <w:rFonts w:ascii="Aptos" w:hAnsi="Aptos"/>
                <w:b/>
                <w:color w:val="FFFFFF"/>
                <w:sz w:val="15"/>
              </w:rPr>
              <w:t>Preferred format</w:t>
            </w:r>
          </w:p>
        </w:tc>
      </w:tr>
      <w:tr>
        <w:trPr>
          <w:cantSplit/>
        </w:trPr>
        <w:tc>
          <w:tcPr>
            <w:tcW w:type="dxa" w:w="3456"/>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5"/>
              </w:rPr>
              <w:t>Procurement &amp; Supply; Finance; project sponsors</w:t>
            </w:r>
          </w:p>
        </w:tc>
        <w:tc>
          <w:tcPr>
            <w:tcW w:type="dxa" w:w="216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5"/>
              </w:rPr>
              <w:t>2017-01-01 to 2026-08-20</w:t>
            </w:r>
          </w:p>
        </w:tc>
        <w:tc>
          <w:tcPr>
            <w:tcW w:type="dxa" w:w="4176"/>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5"/>
              </w:rPr>
              <w:t>Native CSV/XLSX/export + searchable PDFs + index/data dictionary</w:t>
            </w:r>
          </w:p>
        </w:tc>
      </w:tr>
    </w:tbl>
    <w:p>
      <w:pPr>
        <w:spacing w:after="0"/>
      </w:pPr>
    </w:p>
    <w:p>
      <w:pPr>
        <w:pStyle w:val="Heading2"/>
      </w:pPr>
      <w:r>
        <w:t>Records requested</w:t>
      </w:r>
    </w:p>
    <w:p>
      <w:pPr>
        <w:pStyle w:val="ListNumber"/>
        <w:spacing w:after="20"/>
        <w:ind w:left="403" w:hanging="259"/>
      </w:pPr>
      <w:r>
        <w:rPr>
          <w:sz w:val="16"/>
        </w:rPr>
        <w:t>Row-level export for all solicitations/awards in the Bids and Tenders Contract Awards/Annual Statistics population.</w:t>
      </w:r>
    </w:p>
    <w:p>
      <w:pPr>
        <w:pStyle w:val="ListNumber"/>
        <w:spacing w:after="20"/>
        <w:ind w:left="403" w:hanging="259"/>
      </w:pPr>
      <w:r>
        <w:rPr>
          <w:sz w:val="16"/>
        </w:rPr>
        <w:t>Solicitation and award IDs, vendor legal name, bids received, responsive bids, bid prices or evaluated price, evaluation score, disqualification reason, award value/date, procurement method, policy version and exception/limited-tendering clause.</w:t>
      </w:r>
    </w:p>
    <w:p>
      <w:pPr>
        <w:pStyle w:val="ListNumber"/>
        <w:spacing w:after="20"/>
        <w:ind w:left="403" w:hanging="259"/>
      </w:pPr>
      <w:r>
        <w:rPr>
          <w:sz w:val="16"/>
        </w:rPr>
        <w:t>All amendments/change orders, original and revised contract value, approval authority/date, Council report reference, extension/renewal/termination and vendor-performance actions.</w:t>
      </w:r>
    </w:p>
    <w:p>
      <w:pPr>
        <w:pStyle w:val="Heading2"/>
      </w:pPr>
      <w:r>
        <w:t>Required fields / structure</w:t>
      </w:r>
    </w:p>
    <w:p>
      <w:pPr>
        <w:spacing w:after="60"/>
      </w:pPr>
      <w:r>
        <w:t>One row per award and one row per amendment, linked by contract ID; include code lists and cancelled/no-award records.</w:t>
      </w:r>
    </w:p>
    <w:p>
      <w:pPr>
        <w:pStyle w:val="Heading2"/>
      </w:pPr>
      <w:r>
        <w:t>Search and processing direction</w:t>
      </w:r>
    </w:p>
    <w:p>
      <w:pPr>
        <w:pStyle w:val="ListBullet"/>
        <w:spacing w:after="20"/>
        <w:ind w:left="317" w:hanging="173"/>
      </w:pPr>
      <w:r>
        <w:rPr>
          <w:sz w:val="15"/>
        </w:rPr>
        <w:t>Search shared drives, project systems, ERP/financial systems, procurement systems, records-management repositories and official email accounts of the responsible project/program managers where responsive records are not in the systems of record.</w:t>
      </w:r>
    </w:p>
    <w:p>
      <w:pPr>
        <w:pStyle w:val="ListBullet"/>
        <w:spacing w:after="20"/>
        <w:ind w:left="317" w:hanging="173"/>
      </w:pPr>
      <w:r>
        <w:rPr>
          <w:sz w:val="15"/>
        </w:rPr>
        <w:t>Provide a list of custodians, systems searched, date search completed and any retention/destruction schedule affecting the period.</w:t>
      </w:r>
    </w:p>
    <w:p>
      <w:pPr>
        <w:pStyle w:val="ListBullet"/>
        <w:spacing w:after="20"/>
        <w:ind w:left="317" w:hanging="173"/>
      </w:pPr>
      <w:r>
        <w:rPr>
          <w:sz w:val="15"/>
        </w:rPr>
        <w:t>If a field is not held, mark it 'not held' rather than leaving it blank; if records are withheld, identify the MFIPPA exemption and number of records/pages affected.</w:t>
      </w:r>
    </w:p>
    <w:p>
      <w:pPr>
        <w:pStyle w:val="ListBullet"/>
        <w:spacing w:after="20"/>
        <w:ind w:left="317" w:hanging="173"/>
      </w:pPr>
      <w:r>
        <w:rPr>
          <w:sz w:val="15"/>
        </w:rPr>
        <w:t>Please contact the requester before incurring fees above $100 and provide options to narrow by project, year or record type.</w:t>
      </w:r>
    </w:p>
    <w:p>
      <w:pPr>
        <w:pageBreakBefore/>
        <w:spacing w:after="160" w:line="880" w:lineRule="exact"/>
      </w:pPr>
      <w:r>
        <w:rPr>
          <w:sz w:val="88"/>
        </w:rPr>
        <w:t xml:space="preserve"> </w:t>
      </w:r>
    </w:p>
    <w:p>
      <w:pPr>
        <w:pageBreakBefore w:val="0"/>
        <w:spacing w:after="60"/>
      </w:pPr>
      <w:r>
        <w:rPr>
          <w:rFonts w:ascii="Aptos" w:hAnsi="Aptos"/>
          <w:b/>
          <w:color w:val="2166A5"/>
          <w:sz w:val="16"/>
        </w:rPr>
        <w:t>RECORDS REQUEST R3</w:t>
      </w:r>
    </w:p>
    <w:p>
      <w:pPr>
        <w:pStyle w:val="Heading1"/>
      </w:pPr>
      <w:r>
        <w:t>Workforce complement and productivity</w:t>
      </w:r>
    </w:p>
    <w:tbl>
      <w:tblPr>
        <w:tblW w:type="auto" w:w="0"/>
        <w:jc w:val="center"/>
        <w:tblLayout w:type="fixed"/>
        <w:tblLook w:firstColumn="1" w:firstRow="1" w:lastColumn="0" w:lastRow="0" w:noHBand="0" w:noVBand="1" w:val="04A0"/>
      </w:tblPr>
      <w:tblGrid>
        <w:gridCol w:w="3369"/>
        <w:gridCol w:w="3369"/>
        <w:gridCol w:w="3369"/>
      </w:tblGrid>
      <w:tr>
        <w:trPr>
          <w:tblHeader w:val="true"/>
        </w:trPr>
        <w:tc>
          <w:tcPr>
            <w:tcW w:type="dxa" w:w="3456"/>
            <w:shd w:fill="17365D"/>
            <w:tcMar>
              <w:top w:w="90" w:type="dxa"/>
              <w:start w:w="90" w:type="dxa"/>
              <w:bottom w:w="90" w:type="dxa"/>
              <w:end w:w="90" w:type="dxa"/>
            </w:tcMar>
          </w:tcPr>
          <w:p>
            <w:pPr>
              <w:spacing w:after="0"/>
            </w:pPr>
            <w:r>
              <w:rPr>
                <w:rFonts w:ascii="Aptos" w:hAnsi="Aptos"/>
                <w:b/>
                <w:color w:val="FFFFFF"/>
                <w:sz w:val="15"/>
              </w:rPr>
              <w:t>Custodian(s)</w:t>
            </w:r>
          </w:p>
        </w:tc>
        <w:tc>
          <w:tcPr>
            <w:tcW w:type="dxa" w:w="2160"/>
            <w:shd w:fill="17365D"/>
            <w:tcMar>
              <w:top w:w="90" w:type="dxa"/>
              <w:start w:w="90" w:type="dxa"/>
              <w:bottom w:w="90" w:type="dxa"/>
              <w:end w:w="90" w:type="dxa"/>
            </w:tcMar>
          </w:tcPr>
          <w:p>
            <w:pPr>
              <w:spacing w:after="0"/>
            </w:pPr>
            <w:r>
              <w:rPr>
                <w:rFonts w:ascii="Aptos" w:hAnsi="Aptos"/>
                <w:b/>
                <w:color w:val="FFFFFF"/>
                <w:sz w:val="15"/>
              </w:rPr>
              <w:t>Period</w:t>
            </w:r>
          </w:p>
        </w:tc>
        <w:tc>
          <w:tcPr>
            <w:tcW w:type="dxa" w:w="4176"/>
            <w:shd w:fill="17365D"/>
            <w:tcMar>
              <w:top w:w="90" w:type="dxa"/>
              <w:start w:w="90" w:type="dxa"/>
              <w:bottom w:w="90" w:type="dxa"/>
              <w:end w:w="90" w:type="dxa"/>
            </w:tcMar>
          </w:tcPr>
          <w:p>
            <w:pPr>
              <w:spacing w:after="0"/>
            </w:pPr>
            <w:r>
              <w:rPr>
                <w:rFonts w:ascii="Aptos" w:hAnsi="Aptos"/>
                <w:b/>
                <w:color w:val="FFFFFF"/>
                <w:sz w:val="15"/>
              </w:rPr>
              <w:t>Preferred format</w:t>
            </w:r>
          </w:p>
        </w:tc>
      </w:tr>
      <w:tr>
        <w:trPr>
          <w:cantSplit/>
        </w:trPr>
        <w:tc>
          <w:tcPr>
            <w:tcW w:type="dxa" w:w="3456"/>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5"/>
              </w:rPr>
              <w:t>People Services; Finance; all service areas</w:t>
            </w:r>
          </w:p>
        </w:tc>
        <w:tc>
          <w:tcPr>
            <w:tcW w:type="dxa" w:w="216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5"/>
              </w:rPr>
              <w:t>2019-01-01 to 2026-08-20</w:t>
            </w:r>
          </w:p>
        </w:tc>
        <w:tc>
          <w:tcPr>
            <w:tcW w:type="dxa" w:w="4176"/>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5"/>
              </w:rPr>
              <w:t>Native CSV/XLSX/export + searchable PDFs + index/data dictionary</w:t>
            </w:r>
          </w:p>
        </w:tc>
      </w:tr>
    </w:tbl>
    <w:p>
      <w:pPr>
        <w:spacing w:after="0"/>
      </w:pPr>
    </w:p>
    <w:p>
      <w:pPr>
        <w:pStyle w:val="Heading2"/>
      </w:pPr>
      <w:r>
        <w:t>Records requested</w:t>
      </w:r>
    </w:p>
    <w:p>
      <w:pPr>
        <w:pStyle w:val="ListNumber"/>
        <w:spacing w:after="20"/>
        <w:ind w:left="403" w:hanging="259"/>
      </w:pPr>
      <w:r>
        <w:rPr>
          <w:sz w:val="16"/>
        </w:rPr>
        <w:t>Year-end and monthly budgeted/filled FTE by service, division, job family, employment status, bargaining unit and management layer.</w:t>
      </w:r>
    </w:p>
    <w:p>
      <w:pPr>
        <w:pStyle w:val="ListNumber"/>
        <w:spacing w:after="20"/>
        <w:ind w:left="403" w:hanging="259"/>
      </w:pPr>
      <w:r>
        <w:rPr>
          <w:sz w:val="16"/>
        </w:rPr>
        <w:t>Position hierarchy with anonymized position IDs and supervisor position IDs; vacant positions and vacancy days; hires, separations and transfers.</w:t>
      </w:r>
    </w:p>
    <w:p>
      <w:pPr>
        <w:pStyle w:val="ListNumber"/>
        <w:spacing w:after="20"/>
        <w:ind w:left="403" w:hanging="259"/>
      </w:pPr>
      <w:r>
        <w:rPr>
          <w:sz w:val="16"/>
        </w:rPr>
        <w:t>Regular/overtime hours and cost; sick/leave hours; contractor/temporary agency and consulting labour cost with FTE-equivalent if held; service-volume KPIs used internally.</w:t>
      </w:r>
    </w:p>
    <w:p>
      <w:pPr>
        <w:pStyle w:val="Heading2"/>
      </w:pPr>
      <w:r>
        <w:t>Required fields / structure</w:t>
      </w:r>
    </w:p>
    <w:p>
      <w:pPr>
        <w:spacing w:after="60"/>
      </w:pPr>
      <w:r>
        <w:t>No employee names required. Preserve anonymized position IDs across periods so spans, layers and movements can be calculated.</w:t>
      </w:r>
    </w:p>
    <w:p>
      <w:pPr>
        <w:pStyle w:val="Heading2"/>
      </w:pPr>
      <w:r>
        <w:t>Search and processing direction</w:t>
      </w:r>
    </w:p>
    <w:p>
      <w:pPr>
        <w:pStyle w:val="ListBullet"/>
        <w:spacing w:after="20"/>
        <w:ind w:left="317" w:hanging="173"/>
      </w:pPr>
      <w:r>
        <w:rPr>
          <w:sz w:val="15"/>
        </w:rPr>
        <w:t>Search shared drives, project systems, ERP/financial systems, procurement systems, records-management repositories and official email accounts of the responsible project/program managers where responsive records are not in the systems of record.</w:t>
      </w:r>
    </w:p>
    <w:p>
      <w:pPr>
        <w:pStyle w:val="ListBullet"/>
        <w:spacing w:after="20"/>
        <w:ind w:left="317" w:hanging="173"/>
      </w:pPr>
      <w:r>
        <w:rPr>
          <w:sz w:val="15"/>
        </w:rPr>
        <w:t>Provide a list of custodians, systems searched, date search completed and any retention/destruction schedule affecting the period.</w:t>
      </w:r>
    </w:p>
    <w:p>
      <w:pPr>
        <w:pStyle w:val="ListBullet"/>
        <w:spacing w:after="20"/>
        <w:ind w:left="317" w:hanging="173"/>
      </w:pPr>
      <w:r>
        <w:rPr>
          <w:sz w:val="15"/>
        </w:rPr>
        <w:t>If a field is not held, mark it 'not held' rather than leaving it blank; if records are withheld, identify the MFIPPA exemption and number of records/pages affected.</w:t>
      </w:r>
    </w:p>
    <w:p>
      <w:pPr>
        <w:pStyle w:val="ListBullet"/>
        <w:spacing w:after="20"/>
        <w:ind w:left="317" w:hanging="173"/>
      </w:pPr>
      <w:r>
        <w:rPr>
          <w:sz w:val="15"/>
        </w:rPr>
        <w:t>Please contact the requester before incurring fees above $100 and provide options to narrow by project, year or record type.</w:t>
      </w:r>
    </w:p>
    <w:p>
      <w:pPr>
        <w:pageBreakBefore/>
        <w:spacing w:after="160" w:line="280" w:lineRule="exact"/>
      </w:pPr>
      <w:r>
        <w:rPr>
          <w:sz w:val="28"/>
        </w:rPr>
        <w:t xml:space="preserve"> </w:t>
      </w:r>
    </w:p>
    <w:p>
      <w:pPr>
        <w:pageBreakBefore w:val="0"/>
        <w:spacing w:after="60"/>
      </w:pPr>
      <w:r>
        <w:rPr>
          <w:rFonts w:ascii="Aptos" w:hAnsi="Aptos"/>
          <w:b/>
          <w:color w:val="2166A5"/>
          <w:sz w:val="16"/>
        </w:rPr>
        <w:t>RECORDS REQUEST R4</w:t>
      </w:r>
    </w:p>
    <w:p>
      <w:pPr>
        <w:pStyle w:val="Heading1"/>
      </w:pPr>
      <w:r>
        <w:t>Housing and homelessness cohort ledger</w:t>
      </w:r>
    </w:p>
    <w:tbl>
      <w:tblPr>
        <w:tblW w:type="auto" w:w="0"/>
        <w:jc w:val="center"/>
        <w:tblLayout w:type="fixed"/>
        <w:tblLook w:firstColumn="1" w:firstRow="1" w:lastColumn="0" w:lastRow="0" w:noHBand="0" w:noVBand="1" w:val="04A0"/>
      </w:tblPr>
      <w:tblGrid>
        <w:gridCol w:w="3369"/>
        <w:gridCol w:w="3369"/>
        <w:gridCol w:w="3369"/>
      </w:tblGrid>
      <w:tr>
        <w:trPr>
          <w:tblHeader w:val="true"/>
        </w:trPr>
        <w:tc>
          <w:tcPr>
            <w:tcW w:type="dxa" w:w="3456"/>
            <w:shd w:fill="17365D"/>
            <w:tcMar>
              <w:top w:w="90" w:type="dxa"/>
              <w:start w:w="90" w:type="dxa"/>
              <w:bottom w:w="90" w:type="dxa"/>
              <w:end w:w="90" w:type="dxa"/>
            </w:tcMar>
          </w:tcPr>
          <w:p>
            <w:pPr>
              <w:spacing w:after="0"/>
            </w:pPr>
            <w:r>
              <w:rPr>
                <w:rFonts w:ascii="Aptos" w:hAnsi="Aptos"/>
                <w:b/>
                <w:color w:val="FFFFFF"/>
                <w:sz w:val="15"/>
              </w:rPr>
              <w:t>Custodian(s)</w:t>
            </w:r>
          </w:p>
        </w:tc>
        <w:tc>
          <w:tcPr>
            <w:tcW w:type="dxa" w:w="2160"/>
            <w:shd w:fill="17365D"/>
            <w:tcMar>
              <w:top w:w="90" w:type="dxa"/>
              <w:start w:w="90" w:type="dxa"/>
              <w:bottom w:w="90" w:type="dxa"/>
              <w:end w:w="90" w:type="dxa"/>
            </w:tcMar>
          </w:tcPr>
          <w:p>
            <w:pPr>
              <w:spacing w:after="0"/>
            </w:pPr>
            <w:r>
              <w:rPr>
                <w:rFonts w:ascii="Aptos" w:hAnsi="Aptos"/>
                <w:b/>
                <w:color w:val="FFFFFF"/>
                <w:sz w:val="15"/>
              </w:rPr>
              <w:t>Period</w:t>
            </w:r>
          </w:p>
        </w:tc>
        <w:tc>
          <w:tcPr>
            <w:tcW w:type="dxa" w:w="4176"/>
            <w:shd w:fill="17365D"/>
            <w:tcMar>
              <w:top w:w="90" w:type="dxa"/>
              <w:start w:w="90" w:type="dxa"/>
              <w:bottom w:w="90" w:type="dxa"/>
              <w:end w:w="90" w:type="dxa"/>
            </w:tcMar>
          </w:tcPr>
          <w:p>
            <w:pPr>
              <w:spacing w:after="0"/>
            </w:pPr>
            <w:r>
              <w:rPr>
                <w:rFonts w:ascii="Aptos" w:hAnsi="Aptos"/>
                <w:b/>
                <w:color w:val="FFFFFF"/>
                <w:sz w:val="15"/>
              </w:rPr>
              <w:t>Preferred format</w:t>
            </w:r>
          </w:p>
        </w:tc>
      </w:tr>
      <w:tr>
        <w:trPr>
          <w:cantSplit/>
        </w:trPr>
        <w:tc>
          <w:tcPr>
            <w:tcW w:type="dxa" w:w="3456"/>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5"/>
              </w:rPr>
              <w:t>Housing &amp; Community Growth; Social &amp; Health Development</w:t>
            </w:r>
          </w:p>
        </w:tc>
        <w:tc>
          <w:tcPr>
            <w:tcW w:type="dxa" w:w="216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5"/>
              </w:rPr>
              <w:t>2021-01-01 to 2026-08-20</w:t>
            </w:r>
          </w:p>
        </w:tc>
        <w:tc>
          <w:tcPr>
            <w:tcW w:type="dxa" w:w="4176"/>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5"/>
              </w:rPr>
              <w:t>Native CSV/XLSX/export + searchable PDFs + index/data dictionary</w:t>
            </w:r>
          </w:p>
        </w:tc>
      </w:tr>
    </w:tbl>
    <w:p>
      <w:pPr>
        <w:spacing w:after="0"/>
      </w:pPr>
    </w:p>
    <w:p>
      <w:pPr>
        <w:pStyle w:val="Heading2"/>
      </w:pPr>
      <w:r>
        <w:t>Records requested</w:t>
      </w:r>
    </w:p>
    <w:p>
      <w:pPr>
        <w:pStyle w:val="ListNumber"/>
        <w:spacing w:after="20"/>
        <w:ind w:left="403" w:hanging="259"/>
      </w:pPr>
      <w:r>
        <w:rPr>
          <w:sz w:val="16"/>
        </w:rPr>
        <w:t>Project-level ledger for Roadmap to 3,000, HAF, Office-to-Residential, Hubs and highly supportive housing.</w:t>
      </w:r>
    </w:p>
    <w:p>
      <w:pPr>
        <w:pStyle w:val="ListNumber"/>
        <w:spacing w:after="20"/>
        <w:ind w:left="403" w:hanging="259"/>
      </w:pPr>
      <w:r>
        <w:rPr>
          <w:sz w:val="16"/>
        </w:rPr>
        <w:t>Stable project/address ID; application, approval, permit, start, completion and occupancy dates; total/affordable/supportive units; affordability term; municipal/federal/provincial contribution approved/paid; agreement and operator.</w:t>
      </w:r>
    </w:p>
    <w:p>
      <w:pPr>
        <w:pStyle w:val="ListNumber"/>
        <w:spacing w:after="20"/>
        <w:ind w:left="403" w:hanging="259"/>
      </w:pPr>
      <w:r>
        <w:rPr>
          <w:sz w:val="16"/>
        </w:rPr>
        <w:t>For Hubs: anonymized episode/cohort outcomes by site—entry/exit, length of stay, housing destination, 6/12-month retention if held, critical incidents and service utilization—plus denominator definitions.</w:t>
      </w:r>
    </w:p>
    <w:p>
      <w:pPr>
        <w:pStyle w:val="Heading2"/>
      </w:pPr>
      <w:r>
        <w:t>Required fields / structure</w:t>
      </w:r>
    </w:p>
    <w:p>
      <w:pPr>
        <w:spacing w:after="60"/>
      </w:pPr>
      <w:r>
        <w:t>Sever personal information and provide aggregate/anonymized rows. Identify stage definitions and as-of dates.</w:t>
      </w:r>
    </w:p>
    <w:p>
      <w:pPr>
        <w:pStyle w:val="Heading2"/>
      </w:pPr>
      <w:r>
        <w:t>Search and processing direction</w:t>
      </w:r>
    </w:p>
    <w:p>
      <w:pPr>
        <w:pStyle w:val="ListBullet"/>
        <w:spacing w:after="20"/>
        <w:ind w:left="317" w:hanging="173"/>
      </w:pPr>
      <w:r>
        <w:rPr>
          <w:sz w:val="15"/>
        </w:rPr>
        <w:t>Search shared drives, project systems, ERP/financial systems, procurement systems, records-management repositories and official email accounts of the responsible project/program managers where responsive records are not in the systems of record.</w:t>
      </w:r>
    </w:p>
    <w:p>
      <w:pPr>
        <w:pStyle w:val="ListBullet"/>
        <w:spacing w:after="20"/>
        <w:ind w:left="317" w:hanging="173"/>
      </w:pPr>
      <w:r>
        <w:rPr>
          <w:sz w:val="15"/>
        </w:rPr>
        <w:t>Provide a list of custodians, systems searched, date search completed and any retention/destruction schedule affecting the period.</w:t>
      </w:r>
    </w:p>
    <w:p>
      <w:pPr>
        <w:pStyle w:val="ListBullet"/>
        <w:spacing w:after="20"/>
        <w:ind w:left="317" w:hanging="173"/>
      </w:pPr>
      <w:r>
        <w:rPr>
          <w:sz w:val="15"/>
        </w:rPr>
        <w:t>If a field is not held, mark it 'not held' rather than leaving it blank; if records are withheld, identify the MFIPPA exemption and number of records/pages affected.</w:t>
      </w:r>
    </w:p>
    <w:p>
      <w:pPr>
        <w:pStyle w:val="ListBullet"/>
        <w:spacing w:after="20"/>
        <w:ind w:left="317" w:hanging="173"/>
      </w:pPr>
      <w:r>
        <w:rPr>
          <w:sz w:val="15"/>
        </w:rPr>
        <w:t>Please contact the requester before incurring fees above $100 and provide options to narrow by project, year or record type.</w:t>
      </w:r>
    </w:p>
    <w:p>
      <w:pPr>
        <w:pageBreakBefore/>
        <w:spacing w:after="160" w:line="880" w:lineRule="exact"/>
      </w:pPr>
      <w:r>
        <w:rPr>
          <w:sz w:val="88"/>
        </w:rPr>
        <w:t xml:space="preserve"> </w:t>
      </w:r>
    </w:p>
    <w:p>
      <w:pPr>
        <w:pageBreakBefore w:val="0"/>
        <w:spacing w:after="60"/>
      </w:pPr>
      <w:r>
        <w:rPr>
          <w:rFonts w:ascii="Aptos" w:hAnsi="Aptos"/>
          <w:b/>
          <w:color w:val="2166A5"/>
          <w:sz w:val="16"/>
        </w:rPr>
        <w:t>RECORDS REQUEST R5</w:t>
      </w:r>
    </w:p>
    <w:p>
      <w:pPr>
        <w:pStyle w:val="Heading1"/>
      </w:pPr>
      <w:r>
        <w:t>Service performance data spine</w:t>
      </w:r>
    </w:p>
    <w:tbl>
      <w:tblPr>
        <w:tblW w:type="auto" w:w="0"/>
        <w:jc w:val="center"/>
        <w:tblLayout w:type="fixed"/>
        <w:tblLook w:firstColumn="1" w:firstRow="1" w:lastColumn="0" w:lastRow="0" w:noHBand="0" w:noVBand="1" w:val="04A0"/>
      </w:tblPr>
      <w:tblGrid>
        <w:gridCol w:w="3369"/>
        <w:gridCol w:w="3369"/>
        <w:gridCol w:w="3369"/>
      </w:tblGrid>
      <w:tr>
        <w:trPr>
          <w:tblHeader w:val="true"/>
        </w:trPr>
        <w:tc>
          <w:tcPr>
            <w:tcW w:type="dxa" w:w="3456"/>
            <w:shd w:fill="17365D"/>
            <w:tcMar>
              <w:top w:w="90" w:type="dxa"/>
              <w:start w:w="90" w:type="dxa"/>
              <w:bottom w:w="90" w:type="dxa"/>
              <w:end w:w="90" w:type="dxa"/>
            </w:tcMar>
          </w:tcPr>
          <w:p>
            <w:pPr>
              <w:spacing w:after="0"/>
            </w:pPr>
            <w:r>
              <w:rPr>
                <w:rFonts w:ascii="Aptos" w:hAnsi="Aptos"/>
                <w:b/>
                <w:color w:val="FFFFFF"/>
                <w:sz w:val="15"/>
              </w:rPr>
              <w:t>Custodian(s)</w:t>
            </w:r>
          </w:p>
        </w:tc>
        <w:tc>
          <w:tcPr>
            <w:tcW w:type="dxa" w:w="2160"/>
            <w:shd w:fill="17365D"/>
            <w:tcMar>
              <w:top w:w="90" w:type="dxa"/>
              <w:start w:w="90" w:type="dxa"/>
              <w:bottom w:w="90" w:type="dxa"/>
              <w:end w:w="90" w:type="dxa"/>
            </w:tcMar>
          </w:tcPr>
          <w:p>
            <w:pPr>
              <w:spacing w:after="0"/>
            </w:pPr>
            <w:r>
              <w:rPr>
                <w:rFonts w:ascii="Aptos" w:hAnsi="Aptos"/>
                <w:b/>
                <w:color w:val="FFFFFF"/>
                <w:sz w:val="15"/>
              </w:rPr>
              <w:t>Period</w:t>
            </w:r>
          </w:p>
        </w:tc>
        <w:tc>
          <w:tcPr>
            <w:tcW w:type="dxa" w:w="4176"/>
            <w:shd w:fill="17365D"/>
            <w:tcMar>
              <w:top w:w="90" w:type="dxa"/>
              <w:start w:w="90" w:type="dxa"/>
              <w:bottom w:w="90" w:type="dxa"/>
              <w:end w:w="90" w:type="dxa"/>
            </w:tcMar>
          </w:tcPr>
          <w:p>
            <w:pPr>
              <w:spacing w:after="0"/>
            </w:pPr>
            <w:r>
              <w:rPr>
                <w:rFonts w:ascii="Aptos" w:hAnsi="Aptos"/>
                <w:b/>
                <w:color w:val="FFFFFF"/>
                <w:sz w:val="15"/>
              </w:rPr>
              <w:t>Preferred format</w:t>
            </w:r>
          </w:p>
        </w:tc>
      </w:tr>
      <w:tr>
        <w:trPr>
          <w:cantSplit/>
        </w:trPr>
        <w:tc>
          <w:tcPr>
            <w:tcW w:type="dxa" w:w="3456"/>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5"/>
              </w:rPr>
              <w:t>Fire; Water; Wastewater; Roads; Recreation; Fleet; IT; Real Estate; Legal/Risk</w:t>
            </w:r>
          </w:p>
        </w:tc>
        <w:tc>
          <w:tcPr>
            <w:tcW w:type="dxa" w:w="216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5"/>
              </w:rPr>
              <w:t>2019-01-01 to 2026-08-20</w:t>
            </w:r>
          </w:p>
        </w:tc>
        <w:tc>
          <w:tcPr>
            <w:tcW w:type="dxa" w:w="4176"/>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5"/>
              </w:rPr>
              <w:t>Native CSV/XLSX/export + searchable PDFs + index/data dictionary</w:t>
            </w:r>
          </w:p>
        </w:tc>
      </w:tr>
    </w:tbl>
    <w:p>
      <w:pPr>
        <w:spacing w:after="0"/>
      </w:pPr>
    </w:p>
    <w:p>
      <w:pPr>
        <w:pStyle w:val="Heading2"/>
      </w:pPr>
      <w:r>
        <w:t>Records requested</w:t>
      </w:r>
    </w:p>
    <w:p>
      <w:pPr>
        <w:pStyle w:val="ListNumber"/>
        <w:spacing w:after="20"/>
        <w:ind w:left="403" w:hanging="259"/>
      </w:pPr>
      <w:r>
        <w:rPr>
          <w:sz w:val="16"/>
        </w:rPr>
        <w:t>Annual/monthly KPI exports and data dictionaries used for management, business plans, dashboards or Council reporting.</w:t>
      </w:r>
    </w:p>
    <w:p>
      <w:pPr>
        <w:pStyle w:val="ListNumber"/>
        <w:spacing w:after="20"/>
        <w:ind w:left="403" w:hanging="259"/>
      </w:pPr>
      <w:r>
        <w:rPr>
          <w:sz w:val="16"/>
        </w:rPr>
        <w:t>Budget/actual cost, volume, quality, timeliness, reliability, utilization, complaints and equity/geography dimensions for each service.</w:t>
      </w:r>
    </w:p>
    <w:p>
      <w:pPr>
        <w:pStyle w:val="ListNumber"/>
        <w:spacing w:after="20"/>
        <w:ind w:left="403" w:hanging="259"/>
      </w:pPr>
      <w:r>
        <w:rPr>
          <w:sz w:val="16"/>
        </w:rPr>
        <w:t>Fire response components; water breaks/quality/leakage; wastewater bypass/overflow/compliance; roads condition/response/winter; recreation utilization/waitlists; fleet availability/cost; IT uptime/incidents/projects; real-estate utilization; claims/legal spend.</w:t>
      </w:r>
    </w:p>
    <w:p>
      <w:pPr>
        <w:pStyle w:val="Heading2"/>
      </w:pPr>
      <w:r>
        <w:t>Required fields / structure</w:t>
      </w:r>
    </w:p>
    <w:p>
      <w:pPr>
        <w:spacing w:after="60"/>
      </w:pPr>
      <w:r>
        <w:t>Provide target, actual, numerator, denominator, owner, source system, revision date and any discontinuity notes.</w:t>
      </w:r>
    </w:p>
    <w:p>
      <w:pPr>
        <w:pStyle w:val="Heading2"/>
      </w:pPr>
      <w:r>
        <w:t>Search and processing direction</w:t>
      </w:r>
    </w:p>
    <w:p>
      <w:pPr>
        <w:pStyle w:val="ListBullet"/>
        <w:spacing w:after="20"/>
        <w:ind w:left="317" w:hanging="173"/>
      </w:pPr>
      <w:r>
        <w:rPr>
          <w:sz w:val="15"/>
        </w:rPr>
        <w:t>Search shared drives, project systems, ERP/financial systems, procurement systems, records-management repositories and official email accounts of the responsible project/program managers where responsive records are not in the systems of record.</w:t>
      </w:r>
    </w:p>
    <w:p>
      <w:pPr>
        <w:pStyle w:val="ListBullet"/>
        <w:spacing w:after="20"/>
        <w:ind w:left="317" w:hanging="173"/>
      </w:pPr>
      <w:r>
        <w:rPr>
          <w:sz w:val="15"/>
        </w:rPr>
        <w:t>Provide a list of custodians, systems searched, date search completed and any retention/destruction schedule affecting the period.</w:t>
      </w:r>
    </w:p>
    <w:p>
      <w:pPr>
        <w:pStyle w:val="ListBullet"/>
        <w:spacing w:after="20"/>
        <w:ind w:left="317" w:hanging="173"/>
      </w:pPr>
      <w:r>
        <w:rPr>
          <w:sz w:val="15"/>
        </w:rPr>
        <w:t>If a field is not held, mark it 'not held' rather than leaving it blank; if records are withheld, identify the MFIPPA exemption and number of records/pages affected.</w:t>
      </w:r>
    </w:p>
    <w:p>
      <w:pPr>
        <w:pStyle w:val="ListBullet"/>
        <w:spacing w:after="20"/>
        <w:ind w:left="317" w:hanging="173"/>
      </w:pPr>
      <w:r>
        <w:rPr>
          <w:sz w:val="15"/>
        </w:rPr>
        <w:t>Please contact the requester before incurring fees above $100 and provide options to narrow by project, year or record type.</w:t>
      </w:r>
    </w:p>
    <w:p>
      <w:pPr>
        <w:pageBreakBefore/>
        <w:spacing w:after="160" w:line="280" w:lineRule="exact"/>
      </w:pPr>
      <w:r>
        <w:rPr>
          <w:sz w:val="28"/>
        </w:rPr>
        <w:t xml:space="preserve"> </w:t>
      </w:r>
    </w:p>
    <w:p>
      <w:pPr>
        <w:pageBreakBefore w:val="0"/>
        <w:spacing w:after="60"/>
      </w:pPr>
      <w:r>
        <w:rPr>
          <w:rFonts w:ascii="Aptos" w:hAnsi="Aptos"/>
          <w:b/>
          <w:color w:val="2166A5"/>
          <w:sz w:val="16"/>
        </w:rPr>
        <w:t>RECORDS REQUEST R6</w:t>
      </w:r>
    </w:p>
    <w:p>
      <w:pPr>
        <w:pStyle w:val="Heading1"/>
      </w:pPr>
      <w:r>
        <w:t>Grants, CIP incentives and contingency mapping</w:t>
      </w:r>
    </w:p>
    <w:tbl>
      <w:tblPr>
        <w:tblW w:type="auto" w:w="0"/>
        <w:jc w:val="center"/>
        <w:tblLayout w:type="fixed"/>
        <w:tblLook w:firstColumn="1" w:firstRow="1" w:lastColumn="0" w:lastRow="0" w:noHBand="0" w:noVBand="1" w:val="04A0"/>
      </w:tblPr>
      <w:tblGrid>
        <w:gridCol w:w="3369"/>
        <w:gridCol w:w="3369"/>
        <w:gridCol w:w="3369"/>
      </w:tblGrid>
      <w:tr>
        <w:trPr>
          <w:tblHeader w:val="true"/>
        </w:trPr>
        <w:tc>
          <w:tcPr>
            <w:tcW w:type="dxa" w:w="3456"/>
            <w:shd w:fill="17365D"/>
            <w:tcMar>
              <w:top w:w="90" w:type="dxa"/>
              <w:start w:w="90" w:type="dxa"/>
              <w:bottom w:w="90" w:type="dxa"/>
              <w:end w:w="90" w:type="dxa"/>
            </w:tcMar>
          </w:tcPr>
          <w:p>
            <w:pPr>
              <w:spacing w:after="0"/>
            </w:pPr>
            <w:r>
              <w:rPr>
                <w:rFonts w:ascii="Aptos" w:hAnsi="Aptos"/>
                <w:b/>
                <w:color w:val="FFFFFF"/>
                <w:sz w:val="15"/>
              </w:rPr>
              <w:t>Custodian(s)</w:t>
            </w:r>
          </w:p>
        </w:tc>
        <w:tc>
          <w:tcPr>
            <w:tcW w:type="dxa" w:w="2160"/>
            <w:shd w:fill="17365D"/>
            <w:tcMar>
              <w:top w:w="90" w:type="dxa"/>
              <w:start w:w="90" w:type="dxa"/>
              <w:bottom w:w="90" w:type="dxa"/>
              <w:end w:w="90" w:type="dxa"/>
            </w:tcMar>
          </w:tcPr>
          <w:p>
            <w:pPr>
              <w:spacing w:after="0"/>
            </w:pPr>
            <w:r>
              <w:rPr>
                <w:rFonts w:ascii="Aptos" w:hAnsi="Aptos"/>
                <w:b/>
                <w:color w:val="FFFFFF"/>
                <w:sz w:val="15"/>
              </w:rPr>
              <w:t>Period</w:t>
            </w:r>
          </w:p>
        </w:tc>
        <w:tc>
          <w:tcPr>
            <w:tcW w:type="dxa" w:w="4176"/>
            <w:shd w:fill="17365D"/>
            <w:tcMar>
              <w:top w:w="90" w:type="dxa"/>
              <w:start w:w="90" w:type="dxa"/>
              <w:bottom w:w="90" w:type="dxa"/>
              <w:end w:w="90" w:type="dxa"/>
            </w:tcMar>
          </w:tcPr>
          <w:p>
            <w:pPr>
              <w:spacing w:after="0"/>
            </w:pPr>
            <w:r>
              <w:rPr>
                <w:rFonts w:ascii="Aptos" w:hAnsi="Aptos"/>
                <w:b/>
                <w:color w:val="FFFFFF"/>
                <w:sz w:val="15"/>
              </w:rPr>
              <w:t>Preferred format</w:t>
            </w:r>
          </w:p>
        </w:tc>
      </w:tr>
      <w:tr>
        <w:trPr>
          <w:cantSplit/>
        </w:trPr>
        <w:tc>
          <w:tcPr>
            <w:tcW w:type="dxa" w:w="3456"/>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5"/>
              </w:rPr>
              <w:t>Community Development &amp; Grants; Planning; Finance</w:t>
            </w:r>
          </w:p>
        </w:tc>
        <w:tc>
          <w:tcPr>
            <w:tcW w:type="dxa" w:w="216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5"/>
              </w:rPr>
              <w:t>2020-01-01 to 2026-08-20</w:t>
            </w:r>
          </w:p>
        </w:tc>
        <w:tc>
          <w:tcPr>
            <w:tcW w:type="dxa" w:w="4176"/>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5"/>
              </w:rPr>
              <w:t>Native CSV/XLSX/export + searchable PDFs + index/data dictionary</w:t>
            </w:r>
          </w:p>
        </w:tc>
      </w:tr>
    </w:tbl>
    <w:p>
      <w:pPr>
        <w:spacing w:after="0"/>
      </w:pPr>
    </w:p>
    <w:p>
      <w:pPr>
        <w:pStyle w:val="Heading2"/>
      </w:pPr>
      <w:r>
        <w:t>Records requested</w:t>
      </w:r>
    </w:p>
    <w:p>
      <w:pPr>
        <w:pStyle w:val="ListNumber"/>
        <w:spacing w:after="20"/>
        <w:ind w:left="403" w:hanging="259"/>
      </w:pPr>
      <w:r>
        <w:rPr>
          <w:sz w:val="16"/>
        </w:rPr>
        <w:t>Every Community Grant and CIP/incentive application, including multi-year, annual, Brownfield, Office-to-Residential and Residential DC programs.</w:t>
      </w:r>
    </w:p>
    <w:p>
      <w:pPr>
        <w:pStyle w:val="ListNumber"/>
        <w:spacing w:after="20"/>
        <w:ind w:left="403" w:hanging="259"/>
      </w:pPr>
      <w:r>
        <w:rPr>
          <w:sz w:val="16"/>
        </w:rPr>
        <w:t>Applicant/recipient, project, amount requested/scored/approved/committed/paid, panel scores and rationale, agreement, milestones, reports, outputs/outcomes, monitoring, closeout, repayment/clawback and status.</w:t>
      </w:r>
    </w:p>
    <w:p>
      <w:pPr>
        <w:pStyle w:val="ListNumber"/>
        <w:spacing w:after="20"/>
        <w:ind w:left="403" w:hanging="259"/>
      </w:pPr>
      <w:r>
        <w:rPr>
          <w:sz w:val="16"/>
        </w:rPr>
        <w:t>Chart-of-account/fund mapping that reconciles the 2018 Operating Budget Contingency Reserve target to the 2024 audited 'Contingencies' reserve line and subsequent policy-target calculations.</w:t>
      </w:r>
    </w:p>
    <w:p>
      <w:pPr>
        <w:pStyle w:val="Heading2"/>
      </w:pPr>
      <w:r>
        <w:t>Required fields / structure</w:t>
      </w:r>
    </w:p>
    <w:p>
      <w:pPr>
        <w:spacing w:after="60"/>
      </w:pPr>
      <w:r>
        <w:t>One recipient-project-year row plus payment/milestone tables linked by agreement ID; include withdrawn/declined projects and reason codes.</w:t>
      </w:r>
    </w:p>
    <w:p>
      <w:pPr>
        <w:pStyle w:val="Heading2"/>
      </w:pPr>
      <w:r>
        <w:t>Search and processing direction</w:t>
      </w:r>
    </w:p>
    <w:p>
      <w:pPr>
        <w:pStyle w:val="ListBullet"/>
        <w:spacing w:after="20"/>
        <w:ind w:left="317" w:hanging="173"/>
      </w:pPr>
      <w:r>
        <w:rPr>
          <w:sz w:val="15"/>
        </w:rPr>
        <w:t>Search shared drives, project systems, ERP/financial systems, procurement systems, records-management repositories and official email accounts of the responsible project/program managers where responsive records are not in the systems of record.</w:t>
      </w:r>
    </w:p>
    <w:p>
      <w:pPr>
        <w:pStyle w:val="ListBullet"/>
        <w:spacing w:after="20"/>
        <w:ind w:left="317" w:hanging="173"/>
      </w:pPr>
      <w:r>
        <w:rPr>
          <w:sz w:val="15"/>
        </w:rPr>
        <w:t>Provide a list of custodians, systems searched, date search completed and any retention/destruction schedule affecting the period.</w:t>
      </w:r>
    </w:p>
    <w:p>
      <w:pPr>
        <w:pStyle w:val="ListBullet"/>
        <w:spacing w:after="20"/>
        <w:ind w:left="317" w:hanging="173"/>
      </w:pPr>
      <w:r>
        <w:rPr>
          <w:sz w:val="15"/>
        </w:rPr>
        <w:t>If a field is not held, mark it 'not held' rather than leaving it blank; if records are withheld, identify the MFIPPA exemption and number of records/pages affected.</w:t>
      </w:r>
    </w:p>
    <w:p>
      <w:pPr>
        <w:pStyle w:val="ListBullet"/>
        <w:spacing w:after="20"/>
        <w:ind w:left="317" w:hanging="173"/>
      </w:pPr>
      <w:r>
        <w:rPr>
          <w:sz w:val="15"/>
        </w:rPr>
        <w:t>Please contact the requester before incurring fees above $100 and provide options to narrow by project, year or record type.</w:t>
      </w:r>
    </w:p>
    <w:p>
      <w:pPr>
        <w:pageBreakBefore/>
        <w:spacing w:after="60"/>
      </w:pPr>
      <w:r>
        <w:rPr>
          <w:rFonts w:ascii="Aptos" w:hAnsi="Aptos"/>
          <w:b/>
          <w:color w:val="2166A5"/>
          <w:sz w:val="16"/>
        </w:rPr>
        <w:t>APPENDIX B</w:t>
      </w:r>
    </w:p>
    <w:p>
      <w:pPr>
        <w:pStyle w:val="Heading1"/>
      </w:pPr>
      <w:r>
        <w:t>Claim Verification Register</w:t>
      </w:r>
    </w:p>
    <w:p>
      <w:pPr>
        <w:spacing w:after="100"/>
      </w:pPr>
      <w:r>
        <w:t>This register logs the material claims used for outreach. “Derived” means arithmetic is reproduced in Appendix D. “Limited” means the claim is valid only at the stated denominator or reporting stage. The three short-form closure claims are: C046, the CEAP audit contains 17 observations/recommendations (S22); C047, the February 2026 follow-up reviewed 10 actions—three closed and seven on track (S24); and C048, all twelve original asks have final dispositions—eight built and four routed to filing-ready records requests (Appendix E).</w:t>
      </w:r>
    </w:p>
    <w:tbl>
      <w:tblPr>
        <w:tblW w:type="auto" w:w="0"/>
        <w:jc w:val="center"/>
        <w:tblLayout w:type="fixed"/>
        <w:tblLook w:firstColumn="1" w:firstRow="1" w:lastColumn="0" w:lastRow="0" w:noHBand="0" w:noVBand="1" w:val="04A0"/>
      </w:tblPr>
      <w:tblGrid>
        <w:gridCol w:w="2022"/>
        <w:gridCol w:w="2022"/>
        <w:gridCol w:w="2022"/>
        <w:gridCol w:w="2022"/>
        <w:gridCol w:w="2022"/>
      </w:tblGrid>
      <w:tr>
        <w:trPr>
          <w:tblHeader w:val="true"/>
        </w:trPr>
        <w:tc>
          <w:tcPr>
            <w:tcW w:type="dxa" w:w="720"/>
            <w:shd w:fill="17365D"/>
            <w:tcMar>
              <w:top w:w="90" w:type="dxa"/>
              <w:start w:w="90" w:type="dxa"/>
              <w:bottom w:w="90" w:type="dxa"/>
              <w:end w:w="90" w:type="dxa"/>
            </w:tcMar>
          </w:tcPr>
          <w:p>
            <w:pPr>
              <w:spacing w:after="0"/>
            </w:pPr>
            <w:r>
              <w:rPr>
                <w:rFonts w:ascii="Aptos" w:hAnsi="Aptos"/>
                <w:b/>
                <w:color w:val="FFFFFF"/>
                <w:sz w:val="12"/>
              </w:rPr>
              <w:t>ID</w:t>
            </w:r>
          </w:p>
        </w:tc>
        <w:tc>
          <w:tcPr>
            <w:tcW w:type="dxa" w:w="4536"/>
            <w:shd w:fill="17365D"/>
            <w:tcMar>
              <w:top w:w="90" w:type="dxa"/>
              <w:start w:w="90" w:type="dxa"/>
              <w:bottom w:w="90" w:type="dxa"/>
              <w:end w:w="90" w:type="dxa"/>
            </w:tcMar>
          </w:tcPr>
          <w:p>
            <w:pPr>
              <w:spacing w:after="0"/>
            </w:pPr>
            <w:r>
              <w:rPr>
                <w:rFonts w:ascii="Aptos" w:hAnsi="Aptos"/>
                <w:b/>
                <w:color w:val="FFFFFF"/>
                <w:sz w:val="12"/>
              </w:rPr>
              <w:t>Material claim</w:t>
            </w:r>
          </w:p>
        </w:tc>
        <w:tc>
          <w:tcPr>
            <w:tcW w:type="dxa" w:w="1440"/>
            <w:shd w:fill="17365D"/>
            <w:tcMar>
              <w:top w:w="90" w:type="dxa"/>
              <w:start w:w="90" w:type="dxa"/>
              <w:bottom w:w="90" w:type="dxa"/>
              <w:end w:w="90" w:type="dxa"/>
            </w:tcMar>
          </w:tcPr>
          <w:p>
            <w:pPr>
              <w:spacing w:after="0"/>
            </w:pPr>
            <w:r>
              <w:rPr>
                <w:rFonts w:ascii="Aptos" w:hAnsi="Aptos"/>
                <w:b/>
                <w:color w:val="FFFFFF"/>
                <w:sz w:val="12"/>
              </w:rPr>
              <w:t>Status</w:t>
            </w:r>
          </w:p>
        </w:tc>
        <w:tc>
          <w:tcPr>
            <w:tcW w:type="dxa" w:w="1008"/>
            <w:shd w:fill="17365D"/>
            <w:tcMar>
              <w:top w:w="90" w:type="dxa"/>
              <w:start w:w="90" w:type="dxa"/>
              <w:bottom w:w="90" w:type="dxa"/>
              <w:end w:w="90" w:type="dxa"/>
            </w:tcMar>
          </w:tcPr>
          <w:p>
            <w:pPr>
              <w:spacing w:after="0"/>
            </w:pPr>
            <w:r>
              <w:rPr>
                <w:rFonts w:ascii="Aptos" w:hAnsi="Aptos"/>
                <w:b/>
                <w:color w:val="FFFFFF"/>
                <w:sz w:val="12"/>
              </w:rPr>
              <w:t>Source</w:t>
            </w:r>
          </w:p>
        </w:tc>
        <w:tc>
          <w:tcPr>
            <w:tcW w:type="dxa" w:w="2160"/>
            <w:shd w:fill="17365D"/>
            <w:tcMar>
              <w:top w:w="90" w:type="dxa"/>
              <w:start w:w="90" w:type="dxa"/>
              <w:bottom w:w="90" w:type="dxa"/>
              <w:end w:w="90" w:type="dxa"/>
            </w:tcMar>
          </w:tcPr>
          <w:p>
            <w:pPr>
              <w:spacing w:after="0"/>
            </w:pPr>
            <w:r>
              <w:rPr>
                <w:rFonts w:ascii="Aptos" w:hAnsi="Aptos"/>
                <w:b/>
                <w:color w:val="FFFFFF"/>
                <w:sz w:val="12"/>
              </w:rPr>
              <w:t>Guardrail</w:t>
            </w:r>
          </w:p>
        </w:tc>
      </w:tr>
      <w:tr>
        <w:trPr>
          <w:cantSplit/>
        </w:trPr>
        <w:tc>
          <w:tcPr>
            <w:tcW w:type="dxa" w:w="72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C001</w:t>
            </w:r>
          </w:p>
        </w:tc>
        <w:tc>
          <w:tcPr>
            <w:tcW w:type="dxa" w:w="4536"/>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2026 tax-supported operating expenditure is $1.467820B.</w:t>
            </w:r>
          </w:p>
        </w:tc>
        <w:tc>
          <w:tcPr>
            <w:tcW w:type="dxa" w:w="144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Verified</w:t>
            </w:r>
          </w:p>
        </w:tc>
        <w:tc>
          <w:tcPr>
            <w:tcW w:type="dxa" w:w="1008"/>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S01</w:t>
            </w:r>
          </w:p>
        </w:tc>
        <w:tc>
          <w:tcPr>
            <w:tcW w:type="dxa" w:w="216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Budget authority; not actual.</w:t>
            </w:r>
          </w:p>
        </w:tc>
      </w:tr>
      <w:tr>
        <w:trPr>
          <w:cantSplit/>
        </w:trPr>
        <w:tc>
          <w:tcPr>
            <w:tcW w:type="dxa" w:w="72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C002</w:t>
            </w:r>
          </w:p>
        </w:tc>
        <w:tc>
          <w:tcPr>
            <w:tcW w:type="dxa" w:w="4536"/>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2026 tax-rate increase is 3.4%.</w:t>
            </w:r>
          </w:p>
        </w:tc>
        <w:tc>
          <w:tcPr>
            <w:tcW w:type="dxa" w:w="144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Verified</w:t>
            </w:r>
          </w:p>
        </w:tc>
        <w:tc>
          <w:tcPr>
            <w:tcW w:type="dxa" w:w="1008"/>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S01</w:t>
            </w:r>
          </w:p>
        </w:tc>
        <w:tc>
          <w:tcPr>
            <w:tcW w:type="dxa" w:w="216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Rate impact, not levy growth.</w:t>
            </w:r>
          </w:p>
        </w:tc>
      </w:tr>
      <w:tr>
        <w:trPr>
          <w:cantSplit/>
        </w:trPr>
        <w:tc>
          <w:tcPr>
            <w:tcW w:type="dxa" w:w="72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C003</w:t>
            </w:r>
          </w:p>
        </w:tc>
        <w:tc>
          <w:tcPr>
            <w:tcW w:type="dxa" w:w="4536"/>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Three 10-year capital plans total $3.588B, $707M and $1.469B.</w:t>
            </w:r>
          </w:p>
        </w:tc>
        <w:tc>
          <w:tcPr>
            <w:tcW w:type="dxa" w:w="144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Verified</w:t>
            </w:r>
          </w:p>
        </w:tc>
        <w:tc>
          <w:tcPr>
            <w:tcW w:type="dxa" w:w="1008"/>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S01</w:t>
            </w:r>
          </w:p>
        </w:tc>
        <w:tc>
          <w:tcPr>
            <w:tcW w:type="dxa" w:w="216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Keep support types separate.</w:t>
            </w:r>
          </w:p>
        </w:tc>
      </w:tr>
      <w:tr>
        <w:trPr>
          <w:cantSplit/>
        </w:trPr>
        <w:tc>
          <w:tcPr>
            <w:tcW w:type="dxa" w:w="72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C004</w:t>
            </w:r>
          </w:p>
        </w:tc>
        <w:tc>
          <w:tcPr>
            <w:tcW w:type="dxa" w:w="4536"/>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2024 actual expenses were below budget in 8 of 9 PSAB functions.</w:t>
            </w:r>
          </w:p>
        </w:tc>
        <w:tc>
          <w:tcPr>
            <w:tcW w:type="dxa" w:w="144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Derived</w:t>
            </w:r>
          </w:p>
        </w:tc>
        <w:tc>
          <w:tcPr>
            <w:tcW w:type="dxa" w:w="1008"/>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S11</w:t>
            </w:r>
          </w:p>
        </w:tc>
        <w:tc>
          <w:tcPr>
            <w:tcW w:type="dxa" w:w="216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Broad functions only.</w:t>
            </w:r>
          </w:p>
        </w:tc>
      </w:tr>
      <w:tr>
        <w:trPr>
          <w:cantSplit/>
        </w:trPr>
        <w:tc>
          <w:tcPr>
            <w:tcW w:type="dxa" w:w="72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C005</w:t>
            </w:r>
          </w:p>
        </w:tc>
        <w:tc>
          <w:tcPr>
            <w:tcW w:type="dxa" w:w="4536"/>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Social housing was 28.2% below budget in 2024.</w:t>
            </w:r>
          </w:p>
        </w:tc>
        <w:tc>
          <w:tcPr>
            <w:tcW w:type="dxa" w:w="144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Derived</w:t>
            </w:r>
          </w:p>
        </w:tc>
        <w:tc>
          <w:tcPr>
            <w:tcW w:type="dxa" w:w="1008"/>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S11</w:t>
            </w:r>
          </w:p>
        </w:tc>
        <w:tc>
          <w:tcPr>
            <w:tcW w:type="dxa" w:w="216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Cause not established.</w:t>
            </w:r>
          </w:p>
        </w:tc>
      </w:tr>
      <w:tr>
        <w:trPr>
          <w:cantSplit/>
        </w:trPr>
        <w:tc>
          <w:tcPr>
            <w:tcW w:type="dxa" w:w="72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C006</w:t>
            </w:r>
          </w:p>
        </w:tc>
        <w:tc>
          <w:tcPr>
            <w:tcW w:type="dxa" w:w="4536"/>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2025 PSAB annual surplus was $463.734M vs $281.085M budget.</w:t>
            </w:r>
          </w:p>
        </w:tc>
        <w:tc>
          <w:tcPr>
            <w:tcW w:type="dxa" w:w="144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Verified</w:t>
            </w:r>
          </w:p>
        </w:tc>
        <w:tc>
          <w:tcPr>
            <w:tcW w:type="dxa" w:w="1008"/>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S12</w:t>
            </w:r>
          </w:p>
        </w:tc>
        <w:tc>
          <w:tcPr>
            <w:tcW w:type="dxa" w:w="216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Not tax-supported cash surplus.</w:t>
            </w:r>
          </w:p>
        </w:tc>
      </w:tr>
      <w:tr>
        <w:trPr>
          <w:cantSplit/>
        </w:trPr>
        <w:tc>
          <w:tcPr>
            <w:tcW w:type="dxa" w:w="72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C007</w:t>
            </w:r>
          </w:p>
        </w:tc>
        <w:tc>
          <w:tcPr>
            <w:tcW w:type="dxa" w:w="4536"/>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2025 PSAB surplus variance was $182.649M (+65.0%).</w:t>
            </w:r>
          </w:p>
        </w:tc>
        <w:tc>
          <w:tcPr>
            <w:tcW w:type="dxa" w:w="144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Derived</w:t>
            </w:r>
          </w:p>
        </w:tc>
        <w:tc>
          <w:tcPr>
            <w:tcW w:type="dxa" w:w="1008"/>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S12</w:t>
            </w:r>
          </w:p>
        </w:tc>
        <w:tc>
          <w:tcPr>
            <w:tcW w:type="dxa" w:w="216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Arithmetic only.</w:t>
            </w:r>
          </w:p>
        </w:tc>
      </w:tr>
      <w:tr>
        <w:trPr>
          <w:cantSplit/>
        </w:trPr>
        <w:tc>
          <w:tcPr>
            <w:tcW w:type="dxa" w:w="72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C008</w:t>
            </w:r>
          </w:p>
        </w:tc>
        <w:tc>
          <w:tcPr>
            <w:tcW w:type="dxa" w:w="4536"/>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2023 maintain-current infrastructure gap was $946.1M.</w:t>
            </w:r>
          </w:p>
        </w:tc>
        <w:tc>
          <w:tcPr>
            <w:tcW w:type="dxa" w:w="144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Verified</w:t>
            </w:r>
          </w:p>
        </w:tc>
        <w:tc>
          <w:tcPr>
            <w:tcW w:type="dxa" w:w="1008"/>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S04</w:t>
            </w:r>
          </w:p>
        </w:tc>
        <w:tc>
          <w:tcPr>
            <w:tcW w:type="dxa" w:w="216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Modeled 10-year gap.</w:t>
            </w:r>
          </w:p>
        </w:tc>
      </w:tr>
      <w:tr>
        <w:trPr>
          <w:cantSplit/>
        </w:trPr>
        <w:tc>
          <w:tcPr>
            <w:tcW w:type="dxa" w:w="72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C009</w:t>
            </w:r>
          </w:p>
        </w:tc>
        <w:tc>
          <w:tcPr>
            <w:tcW w:type="dxa" w:w="4536"/>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Infrastructure gap rose 66.3% from 2019 and 103.0% from 2014.</w:t>
            </w:r>
          </w:p>
        </w:tc>
        <w:tc>
          <w:tcPr>
            <w:tcW w:type="dxa" w:w="144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Derived</w:t>
            </w:r>
          </w:p>
        </w:tc>
        <w:tc>
          <w:tcPr>
            <w:tcW w:type="dxa" w:w="1008"/>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S04</w:t>
            </w:r>
          </w:p>
        </w:tc>
        <w:tc>
          <w:tcPr>
            <w:tcW w:type="dxa" w:w="216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Cycle-to-cycle published values.</w:t>
            </w:r>
          </w:p>
        </w:tc>
      </w:tr>
      <w:tr>
        <w:trPr>
          <w:cantSplit/>
        </w:trPr>
        <w:tc>
          <w:tcPr>
            <w:tcW w:type="dxa" w:w="72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C010</w:t>
            </w:r>
          </w:p>
        </w:tc>
        <w:tc>
          <w:tcPr>
            <w:tcW w:type="dxa" w:w="4536"/>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70.5% of 1,978 scraped award records had no visible value.</w:t>
            </w:r>
          </w:p>
        </w:tc>
        <w:tc>
          <w:tcPr>
            <w:tcW w:type="dxa" w:w="144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Derived / limited</w:t>
            </w:r>
          </w:p>
        </w:tc>
        <w:tc>
          <w:tcPr>
            <w:tcW w:type="dxa" w:w="1008"/>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S05</w:t>
            </w:r>
          </w:p>
        </w:tc>
        <w:tc>
          <w:tcPr>
            <w:tcW w:type="dxa" w:w="216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Scraped posted population only.</w:t>
            </w:r>
          </w:p>
        </w:tc>
      </w:tr>
      <w:tr>
        <w:trPr>
          <w:cantSplit/>
        </w:trPr>
        <w:tc>
          <w:tcPr>
            <w:tcW w:type="dxa" w:w="72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C011</w:t>
            </w:r>
          </w:p>
        </w:tc>
        <w:tc>
          <w:tcPr>
            <w:tcW w:type="dxa" w:w="4536"/>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Known-value awards total $1.0223B.</w:t>
            </w:r>
          </w:p>
        </w:tc>
        <w:tc>
          <w:tcPr>
            <w:tcW w:type="dxa" w:w="144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Derived / limited</w:t>
            </w:r>
          </w:p>
        </w:tc>
        <w:tc>
          <w:tcPr>
            <w:tcW w:type="dxa" w:w="1008"/>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S05</w:t>
            </w:r>
          </w:p>
        </w:tc>
        <w:tc>
          <w:tcPr>
            <w:tcW w:type="dxa" w:w="216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Excludes unknown-value records.</w:t>
            </w:r>
          </w:p>
        </w:tc>
      </w:tr>
      <w:tr>
        <w:trPr>
          <w:cantSplit/>
        </w:trPr>
        <w:tc>
          <w:tcPr>
            <w:tcW w:type="dxa" w:w="72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C012</w:t>
            </w:r>
          </w:p>
        </w:tc>
        <w:tc>
          <w:tcPr>
            <w:tcW w:type="dxa" w:w="4536"/>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Top ten vendors represent 71.6% of known-value awards.</w:t>
            </w:r>
          </w:p>
        </w:tc>
        <w:tc>
          <w:tcPr>
            <w:tcW w:type="dxa" w:w="144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Derived / limited</w:t>
            </w:r>
          </w:p>
        </w:tc>
        <w:tc>
          <w:tcPr>
            <w:tcW w:type="dxa" w:w="1008"/>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S05</w:t>
            </w:r>
          </w:p>
        </w:tc>
        <w:tc>
          <w:tcPr>
            <w:tcW w:type="dxa" w:w="216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Not total procurement; no parent normalization.</w:t>
            </w:r>
          </w:p>
        </w:tc>
      </w:tr>
      <w:tr>
        <w:trPr>
          <w:cantSplit/>
        </w:trPr>
        <w:tc>
          <w:tcPr>
            <w:tcW w:type="dxa" w:w="72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C013</w:t>
            </w:r>
          </w:p>
        </w:tc>
        <w:tc>
          <w:tcPr>
            <w:tcW w:type="dxa" w:w="4536"/>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Known-value HHI is 949 overall and 1,065 construction.</w:t>
            </w:r>
          </w:p>
        </w:tc>
        <w:tc>
          <w:tcPr>
            <w:tcW w:type="dxa" w:w="144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Derived / limited</w:t>
            </w:r>
          </w:p>
        </w:tc>
        <w:tc>
          <w:tcPr>
            <w:tcW w:type="dxa" w:w="1008"/>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S05</w:t>
            </w:r>
          </w:p>
        </w:tc>
        <w:tc>
          <w:tcPr>
            <w:tcW w:type="dxa" w:w="216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Descriptive statistic; not market concentration.</w:t>
            </w:r>
          </w:p>
        </w:tc>
      </w:tr>
      <w:tr>
        <w:trPr>
          <w:cantSplit/>
        </w:trPr>
        <w:tc>
          <w:tcPr>
            <w:tcW w:type="dxa" w:w="72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C014</w:t>
            </w:r>
          </w:p>
        </w:tc>
        <w:tc>
          <w:tcPr>
            <w:tcW w:type="dxa" w:w="4536"/>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Current procurement policy took effect Oct. 1, 2025.</w:t>
            </w:r>
          </w:p>
        </w:tc>
        <w:tc>
          <w:tcPr>
            <w:tcW w:type="dxa" w:w="144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Verified</w:t>
            </w:r>
          </w:p>
        </w:tc>
        <w:tc>
          <w:tcPr>
            <w:tcW w:type="dxa" w:w="1008"/>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S06</w:t>
            </w:r>
          </w:p>
        </w:tc>
        <w:tc>
          <w:tcPr>
            <w:tcW w:type="dxa" w:w="216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Legacy policy applies earlier.</w:t>
            </w:r>
          </w:p>
        </w:tc>
      </w:tr>
      <w:tr>
        <w:trPr>
          <w:cantSplit/>
        </w:trPr>
        <w:tc>
          <w:tcPr>
            <w:tcW w:type="dxa" w:w="72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C015</w:t>
            </w:r>
          </w:p>
        </w:tc>
        <w:tc>
          <w:tcPr>
            <w:tcW w:type="dxa" w:w="4536"/>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2025 Annual Procurement Compliance Review was received Apr. 20, 2026.</w:t>
            </w:r>
          </w:p>
        </w:tc>
        <w:tc>
          <w:tcPr>
            <w:tcW w:type="dxa" w:w="144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Verified</w:t>
            </w:r>
          </w:p>
        </w:tc>
        <w:tc>
          <w:tcPr>
            <w:tcW w:type="dxa" w:w="1008"/>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S07</w:t>
            </w:r>
          </w:p>
        </w:tc>
        <w:tc>
          <w:tcPr>
            <w:tcW w:type="dxa" w:w="216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Existence does not prove every award compliant.</w:t>
            </w:r>
          </w:p>
        </w:tc>
      </w:tr>
      <w:tr>
        <w:trPr>
          <w:cantSplit/>
        </w:trPr>
        <w:tc>
          <w:tcPr>
            <w:tcW w:type="dxa" w:w="72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C016</w:t>
            </w:r>
          </w:p>
        </w:tc>
        <w:tc>
          <w:tcPr>
            <w:tcW w:type="dxa" w:w="4536"/>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May 2026 biannual report threshold is $133,800 goods/services and $334,000 construction.</w:t>
            </w:r>
          </w:p>
        </w:tc>
        <w:tc>
          <w:tcPr>
            <w:tcW w:type="dxa" w:w="144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Verified</w:t>
            </w:r>
          </w:p>
        </w:tc>
        <w:tc>
          <w:tcPr>
            <w:tcW w:type="dxa" w:w="1008"/>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S08</w:t>
            </w:r>
          </w:p>
        </w:tc>
        <w:tc>
          <w:tcPr>
            <w:tcW w:type="dxa" w:w="216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Threshold is report scope.</w:t>
            </w:r>
          </w:p>
        </w:tc>
      </w:tr>
      <w:tr>
        <w:trPr>
          <w:cantSplit/>
        </w:trPr>
        <w:tc>
          <w:tcPr>
            <w:tcW w:type="dxa" w:w="72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C017</w:t>
            </w:r>
          </w:p>
        </w:tc>
        <w:tc>
          <w:tcPr>
            <w:tcW w:type="dxa" w:w="4536"/>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2025 DC contributions were $68.5M and disbursements $106.2M.</w:t>
            </w:r>
          </w:p>
        </w:tc>
        <w:tc>
          <w:tcPr>
            <w:tcW w:type="dxa" w:w="144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Verified</w:t>
            </w:r>
          </w:p>
        </w:tc>
        <w:tc>
          <w:tcPr>
            <w:tcW w:type="dxa" w:w="1008"/>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S10</w:t>
            </w:r>
          </w:p>
        </w:tc>
        <w:tc>
          <w:tcPr>
            <w:tcW w:type="dxa" w:w="216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All eleven funds combined.</w:t>
            </w:r>
          </w:p>
        </w:tc>
      </w:tr>
      <w:tr>
        <w:trPr>
          <w:cantSplit/>
        </w:trPr>
        <w:tc>
          <w:tcPr>
            <w:tcW w:type="dxa" w:w="72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C018</w:t>
            </w:r>
          </w:p>
        </w:tc>
        <w:tc>
          <w:tcPr>
            <w:tcW w:type="dxa" w:w="4536"/>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2025 DC closing balance was $327.1M.</w:t>
            </w:r>
          </w:p>
        </w:tc>
        <w:tc>
          <w:tcPr>
            <w:tcW w:type="dxa" w:w="144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Verified</w:t>
            </w:r>
          </w:p>
        </w:tc>
        <w:tc>
          <w:tcPr>
            <w:tcW w:type="dxa" w:w="1008"/>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S10</w:t>
            </w:r>
          </w:p>
        </w:tc>
        <w:tc>
          <w:tcPr>
            <w:tcW w:type="dxa" w:w="216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Not uncommitted cash.</w:t>
            </w:r>
          </w:p>
        </w:tc>
      </w:tr>
      <w:tr>
        <w:trPr>
          <w:cantSplit/>
        </w:trPr>
        <w:tc>
          <w:tcPr>
            <w:tcW w:type="dxa" w:w="72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C019</w:t>
            </w:r>
          </w:p>
        </w:tc>
        <w:tc>
          <w:tcPr>
            <w:tcW w:type="dxa" w:w="4536"/>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Repeat-draw scenario produces $214.0M in year 3.</w:t>
            </w:r>
          </w:p>
        </w:tc>
        <w:tc>
          <w:tcPr>
            <w:tcW w:type="dxa" w:w="144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Derived</w:t>
            </w:r>
          </w:p>
        </w:tc>
        <w:tc>
          <w:tcPr>
            <w:tcW w:type="dxa" w:w="1008"/>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S10</w:t>
            </w:r>
          </w:p>
        </w:tc>
        <w:tc>
          <w:tcPr>
            <w:tcW w:type="dxa" w:w="216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Sensitivity, not forecast.</w:t>
            </w:r>
          </w:p>
        </w:tc>
      </w:tr>
      <w:tr>
        <w:trPr>
          <w:cantSplit/>
        </w:trPr>
        <w:tc>
          <w:tcPr>
            <w:tcW w:type="dxa" w:w="72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C020</w:t>
            </w:r>
          </w:p>
        </w:tc>
        <w:tc>
          <w:tcPr>
            <w:tcW w:type="dxa" w:w="4536"/>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Sunshine List headcount rose 579 to 831 from 2021 to 2025.</w:t>
            </w:r>
          </w:p>
        </w:tc>
        <w:tc>
          <w:tcPr>
            <w:tcW w:type="dxa" w:w="144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Derived / limited</w:t>
            </w:r>
          </w:p>
        </w:tc>
        <w:tc>
          <w:tcPr>
            <w:tcW w:type="dxa" w:w="1008"/>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S28</w:t>
            </w:r>
          </w:p>
        </w:tc>
        <w:tc>
          <w:tcPr>
            <w:tcW w:type="dxa" w:w="216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Above-threshold disclosure population only.</w:t>
            </w:r>
          </w:p>
        </w:tc>
      </w:tr>
      <w:tr>
        <w:trPr>
          <w:cantSplit/>
        </w:trPr>
        <w:tc>
          <w:tcPr>
            <w:tcW w:type="dxa" w:w="72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C021</w:t>
            </w:r>
          </w:p>
        </w:tc>
        <w:tc>
          <w:tcPr>
            <w:tcW w:type="dxa" w:w="4536"/>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Average disclosed salary rose 1.7% nominal.</w:t>
            </w:r>
          </w:p>
        </w:tc>
        <w:tc>
          <w:tcPr>
            <w:tcW w:type="dxa" w:w="144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Derived / limited</w:t>
            </w:r>
          </w:p>
        </w:tc>
        <w:tc>
          <w:tcPr>
            <w:tcW w:type="dxa" w:w="1008"/>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S28</w:t>
            </w:r>
          </w:p>
        </w:tc>
        <w:tc>
          <w:tcPr>
            <w:tcW w:type="dxa" w:w="216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Not real wage; not all staff.</w:t>
            </w:r>
          </w:p>
        </w:tc>
      </w:tr>
      <w:tr>
        <w:trPr>
          <w:cantSplit/>
        </w:trPr>
        <w:tc>
          <w:tcPr>
            <w:tcW w:type="dxa" w:w="72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C022</w:t>
            </w:r>
          </w:p>
        </w:tc>
        <w:tc>
          <w:tcPr>
            <w:tcW w:type="dxa" w:w="4536"/>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5,462 residential units received permits in 2025.</w:t>
            </w:r>
          </w:p>
        </w:tc>
        <w:tc>
          <w:tcPr>
            <w:tcW w:type="dxa" w:w="144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Verified</w:t>
            </w:r>
          </w:p>
        </w:tc>
        <w:tc>
          <w:tcPr>
            <w:tcW w:type="dxa" w:w="1008"/>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S02</w:t>
            </w:r>
          </w:p>
        </w:tc>
        <w:tc>
          <w:tcPr>
            <w:tcW w:type="dxa" w:w="216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Not completions.</w:t>
            </w:r>
          </w:p>
        </w:tc>
      </w:tr>
      <w:tr>
        <w:trPr>
          <w:cantSplit/>
        </w:trPr>
        <w:tc>
          <w:tcPr>
            <w:tcW w:type="dxa" w:w="72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C023</w:t>
            </w:r>
          </w:p>
        </w:tc>
        <w:tc>
          <w:tcPr>
            <w:tcW w:type="dxa" w:w="4536"/>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HAF year-2 permits were 4,284 vs 3,991 target.</w:t>
            </w:r>
          </w:p>
        </w:tc>
        <w:tc>
          <w:tcPr>
            <w:tcW w:type="dxa" w:w="144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Verified</w:t>
            </w:r>
          </w:p>
        </w:tc>
        <w:tc>
          <w:tcPr>
            <w:tcW w:type="dxa" w:w="1008"/>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S03</w:t>
            </w:r>
          </w:p>
        </w:tc>
        <w:tc>
          <w:tcPr>
            <w:tcW w:type="dxa" w:w="216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HAF measurement window.</w:t>
            </w:r>
          </w:p>
        </w:tc>
      </w:tr>
      <w:tr>
        <w:trPr>
          <w:cantSplit/>
        </w:trPr>
        <w:tc>
          <w:tcPr>
            <w:tcW w:type="dxa" w:w="72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C024</w:t>
            </w:r>
          </w:p>
        </w:tc>
        <w:tc>
          <w:tcPr>
            <w:tcW w:type="dxa" w:w="4536"/>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2,576 City-funded affordable units were tracked by Dec. 31, 2025.</w:t>
            </w:r>
          </w:p>
        </w:tc>
        <w:tc>
          <w:tcPr>
            <w:tcW w:type="dxa" w:w="144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Verified</w:t>
            </w:r>
          </w:p>
        </w:tc>
        <w:tc>
          <w:tcPr>
            <w:tcW w:type="dxa" w:w="1008"/>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S02</w:t>
            </w:r>
          </w:p>
        </w:tc>
        <w:tc>
          <w:tcPr>
            <w:tcW w:type="dxa" w:w="216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Mixed pipeline stages.</w:t>
            </w:r>
          </w:p>
        </w:tc>
      </w:tr>
      <w:tr>
        <w:trPr>
          <w:cantSplit/>
        </w:trPr>
        <w:tc>
          <w:tcPr>
            <w:tcW w:type="dxa" w:w="72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C025</w:t>
            </w:r>
          </w:p>
        </w:tc>
        <w:tc>
          <w:tcPr>
            <w:tcW w:type="dxa" w:w="4536"/>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675 affordable units were in progress and 1,360 in planning.</w:t>
            </w:r>
          </w:p>
        </w:tc>
        <w:tc>
          <w:tcPr>
            <w:tcW w:type="dxa" w:w="144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Verified</w:t>
            </w:r>
          </w:p>
        </w:tc>
        <w:tc>
          <w:tcPr>
            <w:tcW w:type="dxa" w:w="1008"/>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S02</w:t>
            </w:r>
          </w:p>
        </w:tc>
        <w:tc>
          <w:tcPr>
            <w:tcW w:type="dxa" w:w="216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Stage definitions not reproduced.</w:t>
            </w:r>
          </w:p>
        </w:tc>
      </w:tr>
      <w:tr>
        <w:trPr>
          <w:cantSplit/>
        </w:trPr>
        <w:tc>
          <w:tcPr>
            <w:tcW w:type="dxa" w:w="72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C026</w:t>
            </w:r>
          </w:p>
        </w:tc>
        <w:tc>
          <w:tcPr>
            <w:tcW w:type="dxa" w:w="4536"/>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44 City-led HSH units were completed and occupied.</w:t>
            </w:r>
          </w:p>
        </w:tc>
        <w:tc>
          <w:tcPr>
            <w:tcW w:type="dxa" w:w="144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Verified</w:t>
            </w:r>
          </w:p>
        </w:tc>
        <w:tc>
          <w:tcPr>
            <w:tcW w:type="dxa" w:w="1008"/>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S02</w:t>
            </w:r>
          </w:p>
        </w:tc>
        <w:tc>
          <w:tcPr>
            <w:tcW w:type="dxa" w:w="216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Specific subset.</w:t>
            </w:r>
          </w:p>
        </w:tc>
      </w:tr>
      <w:tr>
        <w:trPr>
          <w:cantSplit/>
        </w:trPr>
        <w:tc>
          <w:tcPr>
            <w:tcW w:type="dxa" w:w="72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C027</w:t>
            </w:r>
          </w:p>
        </w:tc>
        <w:tc>
          <w:tcPr>
            <w:tcW w:type="dxa" w:w="4536"/>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422 HSH units were tracked in 2025.</w:t>
            </w:r>
          </w:p>
        </w:tc>
        <w:tc>
          <w:tcPr>
            <w:tcW w:type="dxa" w:w="144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Verified / limited</w:t>
            </w:r>
          </w:p>
        </w:tc>
        <w:tc>
          <w:tcPr>
            <w:tcW w:type="dxa" w:w="1008"/>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S02</w:t>
            </w:r>
          </w:p>
        </w:tc>
        <w:tc>
          <w:tcPr>
            <w:tcW w:type="dxa" w:w="216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Not all complete.</w:t>
            </w:r>
          </w:p>
        </w:tc>
      </w:tr>
      <w:tr>
        <w:trPr>
          <w:cantSplit/>
        </w:trPr>
        <w:tc>
          <w:tcPr>
            <w:tcW w:type="dxa" w:w="72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C028</w:t>
            </w:r>
          </w:p>
        </w:tc>
        <w:tc>
          <w:tcPr>
            <w:tcW w:type="dxa" w:w="4536"/>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Draft subdivisions were within timeline 33% of the time, avg 145 days.</w:t>
            </w:r>
          </w:p>
        </w:tc>
        <w:tc>
          <w:tcPr>
            <w:tcW w:type="dxa" w:w="144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Verified</w:t>
            </w:r>
          </w:p>
        </w:tc>
        <w:tc>
          <w:tcPr>
            <w:tcW w:type="dxa" w:w="1008"/>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S02</w:t>
            </w:r>
          </w:p>
        </w:tc>
        <w:tc>
          <w:tcPr>
            <w:tcW w:type="dxa" w:w="216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Cause not established.</w:t>
            </w:r>
          </w:p>
        </w:tc>
      </w:tr>
      <w:tr>
        <w:trPr>
          <w:cantSplit/>
        </w:trPr>
        <w:tc>
          <w:tcPr>
            <w:tcW w:type="dxa" w:w="72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C029</w:t>
            </w:r>
          </w:p>
        </w:tc>
        <w:tc>
          <w:tcPr>
            <w:tcW w:type="dxa" w:w="4536"/>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42 recipients total exactly $9.2M in 2024–2027 grants.</w:t>
            </w:r>
          </w:p>
        </w:tc>
        <w:tc>
          <w:tcPr>
            <w:tcW w:type="dxa" w:w="144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Verified / derived</w:t>
            </w:r>
          </w:p>
        </w:tc>
        <w:tc>
          <w:tcPr>
            <w:tcW w:type="dxa" w:w="1008"/>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S14</w:t>
            </w:r>
          </w:p>
        </w:tc>
        <w:tc>
          <w:tcPr>
            <w:tcW w:type="dxa" w:w="216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Allocation, not payment.</w:t>
            </w:r>
          </w:p>
        </w:tc>
      </w:tr>
      <w:tr>
        <w:trPr>
          <w:cantSplit/>
        </w:trPr>
        <w:tc>
          <w:tcPr>
            <w:tcW w:type="dxa" w:w="72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C030</w:t>
            </w:r>
          </w:p>
        </w:tc>
        <w:tc>
          <w:tcPr>
            <w:tcW w:type="dxa" w:w="4536"/>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Grant recipients reported average 164,003 people served/year.</w:t>
            </w:r>
          </w:p>
        </w:tc>
        <w:tc>
          <w:tcPr>
            <w:tcW w:type="dxa" w:w="144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Verified</w:t>
            </w:r>
          </w:p>
        </w:tc>
        <w:tc>
          <w:tcPr>
            <w:tcW w:type="dxa" w:w="1008"/>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S15</w:t>
            </w:r>
          </w:p>
        </w:tc>
        <w:tc>
          <w:tcPr>
            <w:tcW w:type="dxa" w:w="216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Program-reported metric.</w:t>
            </w:r>
          </w:p>
        </w:tc>
      </w:tr>
      <w:tr>
        <w:trPr>
          <w:cantSplit/>
        </w:trPr>
        <w:tc>
          <w:tcPr>
            <w:tcW w:type="dxa" w:w="72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C031</w:t>
            </w:r>
          </w:p>
        </w:tc>
        <w:tc>
          <w:tcPr>
            <w:tcW w:type="dxa" w:w="4536"/>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Grants reportedly leveraged &gt;$50M.</w:t>
            </w:r>
          </w:p>
        </w:tc>
        <w:tc>
          <w:tcPr>
            <w:tcW w:type="dxa" w:w="144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Verified</w:t>
            </w:r>
          </w:p>
        </w:tc>
        <w:tc>
          <w:tcPr>
            <w:tcW w:type="dxa" w:w="1008"/>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S15</w:t>
            </w:r>
          </w:p>
        </w:tc>
        <w:tc>
          <w:tcPr>
            <w:tcW w:type="dxa" w:w="216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Not independently audited here.</w:t>
            </w:r>
          </w:p>
        </w:tc>
      </w:tr>
      <w:tr>
        <w:trPr>
          <w:cantSplit/>
        </w:trPr>
        <w:tc>
          <w:tcPr>
            <w:tcW w:type="dxa" w:w="72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C032</w:t>
            </w:r>
          </w:p>
        </w:tc>
        <w:tc>
          <w:tcPr>
            <w:tcW w:type="dxa" w:w="4536"/>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MNP found no documented score-to-award threshold.</w:t>
            </w:r>
          </w:p>
        </w:tc>
        <w:tc>
          <w:tcPr>
            <w:tcW w:type="dxa" w:w="144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Verified</w:t>
            </w:r>
          </w:p>
        </w:tc>
        <w:tc>
          <w:tcPr>
            <w:tcW w:type="dxa" w:w="1008"/>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S16</w:t>
            </w:r>
          </w:p>
        </w:tc>
        <w:tc>
          <w:tcPr>
            <w:tcW w:type="dxa" w:w="216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Medium-risk observation.</w:t>
            </w:r>
          </w:p>
        </w:tc>
      </w:tr>
      <w:tr>
        <w:trPr>
          <w:cantSplit/>
        </w:trPr>
        <w:tc>
          <w:tcPr>
            <w:tcW w:type="dxa" w:w="72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C033</w:t>
            </w:r>
          </w:p>
        </w:tc>
        <w:tc>
          <w:tcPr>
            <w:tcW w:type="dxa" w:w="4536"/>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MNP found no mandatory panel scoring rationale in SmartSimple.</w:t>
            </w:r>
          </w:p>
        </w:tc>
        <w:tc>
          <w:tcPr>
            <w:tcW w:type="dxa" w:w="144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Verified</w:t>
            </w:r>
          </w:p>
        </w:tc>
        <w:tc>
          <w:tcPr>
            <w:tcW w:type="dxa" w:w="1008"/>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S16</w:t>
            </w:r>
          </w:p>
        </w:tc>
        <w:tc>
          <w:tcPr>
            <w:tcW w:type="dxa" w:w="216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Medium-risk observation.</w:t>
            </w:r>
          </w:p>
        </w:tc>
      </w:tr>
      <w:tr>
        <w:trPr>
          <w:cantSplit/>
        </w:trPr>
        <w:tc>
          <w:tcPr>
            <w:tcW w:type="dxa" w:w="72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C034</w:t>
            </w:r>
          </w:p>
        </w:tc>
        <w:tc>
          <w:tcPr>
            <w:tcW w:type="dxa" w:w="4536"/>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Both grant actions are on track for Q4 2027.</w:t>
            </w:r>
          </w:p>
        </w:tc>
        <w:tc>
          <w:tcPr>
            <w:tcW w:type="dxa" w:w="144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Verified</w:t>
            </w:r>
          </w:p>
        </w:tc>
        <w:tc>
          <w:tcPr>
            <w:tcW w:type="dxa" w:w="1008"/>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S24</w:t>
            </w:r>
          </w:p>
        </w:tc>
        <w:tc>
          <w:tcPr>
            <w:tcW w:type="dxa" w:w="216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Status at evidence lock.</w:t>
            </w:r>
          </w:p>
        </w:tc>
      </w:tr>
      <w:tr>
        <w:trPr>
          <w:cantSplit/>
        </w:trPr>
        <w:tc>
          <w:tcPr>
            <w:tcW w:type="dxa" w:w="72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C035</w:t>
            </w:r>
          </w:p>
        </w:tc>
        <w:tc>
          <w:tcPr>
            <w:tcW w:type="dxa" w:w="4536"/>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YOU hub spend was $2.980M vs $3.301M budget.</w:t>
            </w:r>
          </w:p>
        </w:tc>
        <w:tc>
          <w:tcPr>
            <w:tcW w:type="dxa" w:w="144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Verified</w:t>
            </w:r>
          </w:p>
        </w:tc>
        <w:tc>
          <w:tcPr>
            <w:tcW w:type="dxa" w:w="1008"/>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S19</w:t>
            </w:r>
          </w:p>
        </w:tc>
        <w:tc>
          <w:tcPr>
            <w:tcW w:type="dxa" w:w="216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Dec. 2023–Dec. 2025.</w:t>
            </w:r>
          </w:p>
        </w:tc>
      </w:tr>
      <w:tr>
        <w:trPr>
          <w:cantSplit/>
        </w:trPr>
        <w:tc>
          <w:tcPr>
            <w:tcW w:type="dxa" w:w="72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C036</w:t>
            </w:r>
          </w:p>
        </w:tc>
        <w:tc>
          <w:tcPr>
            <w:tcW w:type="dxa" w:w="4536"/>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Atlohsa spend was $4.248M vs $4.236M budget.</w:t>
            </w:r>
          </w:p>
        </w:tc>
        <w:tc>
          <w:tcPr>
            <w:tcW w:type="dxa" w:w="144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Verified</w:t>
            </w:r>
          </w:p>
        </w:tc>
        <w:tc>
          <w:tcPr>
            <w:tcW w:type="dxa" w:w="1008"/>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S19</w:t>
            </w:r>
          </w:p>
        </w:tc>
        <w:tc>
          <w:tcPr>
            <w:tcW w:type="dxa" w:w="216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Dec. 2023–Dec. 2025.</w:t>
            </w:r>
          </w:p>
        </w:tc>
      </w:tr>
      <w:tr>
        <w:trPr>
          <w:cantSplit/>
        </w:trPr>
        <w:tc>
          <w:tcPr>
            <w:tcW w:type="dxa" w:w="72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C037</w:t>
            </w:r>
          </w:p>
        </w:tc>
        <w:tc>
          <w:tcPr>
            <w:tcW w:type="dxa" w:w="4536"/>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MNP reported &gt;100 served and &gt;40 stable housing outcomes.</w:t>
            </w:r>
          </w:p>
        </w:tc>
        <w:tc>
          <w:tcPr>
            <w:tcW w:type="dxa" w:w="144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Verified</w:t>
            </w:r>
          </w:p>
        </w:tc>
        <w:tc>
          <w:tcPr>
            <w:tcW w:type="dxa" w:w="1008"/>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S18/S19</w:t>
            </w:r>
          </w:p>
        </w:tc>
        <w:tc>
          <w:tcPr>
            <w:tcW w:type="dxa" w:w="216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Not fully broken down by site/cohort.</w:t>
            </w:r>
          </w:p>
        </w:tc>
      </w:tr>
      <w:tr>
        <w:trPr>
          <w:cantSplit/>
        </w:trPr>
        <w:tc>
          <w:tcPr>
            <w:tcW w:type="dxa" w:w="72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C038</w:t>
            </w:r>
          </w:p>
        </w:tc>
        <w:tc>
          <w:tcPr>
            <w:tcW w:type="dxa" w:w="4536"/>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LTC reported 17.5M conventional rides in 2025.</w:t>
            </w:r>
          </w:p>
        </w:tc>
        <w:tc>
          <w:tcPr>
            <w:tcW w:type="dxa" w:w="144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Verified</w:t>
            </w:r>
          </w:p>
        </w:tc>
        <w:tc>
          <w:tcPr>
            <w:tcW w:type="dxa" w:w="1008"/>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S31</w:t>
            </w:r>
          </w:p>
        </w:tc>
        <w:tc>
          <w:tcPr>
            <w:tcW w:type="dxa" w:w="216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Annual report.</w:t>
            </w:r>
          </w:p>
        </w:tc>
      </w:tr>
      <w:tr>
        <w:trPr>
          <w:cantSplit/>
        </w:trPr>
        <w:tc>
          <w:tcPr>
            <w:tcW w:type="dxa" w:w="72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C039</w:t>
            </w:r>
          </w:p>
        </w:tc>
        <w:tc>
          <w:tcPr>
            <w:tcW w:type="dxa" w:w="4536"/>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LTC 2025 rides per service hour were 24.4.</w:t>
            </w:r>
          </w:p>
        </w:tc>
        <w:tc>
          <w:tcPr>
            <w:tcW w:type="dxa" w:w="144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Verified</w:t>
            </w:r>
          </w:p>
        </w:tc>
        <w:tc>
          <w:tcPr>
            <w:tcW w:type="dxa" w:w="1008"/>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S31</w:t>
            </w:r>
          </w:p>
        </w:tc>
        <w:tc>
          <w:tcPr>
            <w:tcW w:type="dxa" w:w="216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Conventional service.</w:t>
            </w:r>
          </w:p>
        </w:tc>
      </w:tr>
      <w:tr>
        <w:trPr>
          <w:cantSplit/>
        </w:trPr>
        <w:tc>
          <w:tcPr>
            <w:tcW w:type="dxa" w:w="72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C040</w:t>
            </w:r>
          </w:p>
        </w:tc>
        <w:tc>
          <w:tcPr>
            <w:tcW w:type="dxa" w:w="4536"/>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On-time performance satisfaction was 46%.</w:t>
            </w:r>
          </w:p>
        </w:tc>
        <w:tc>
          <w:tcPr>
            <w:tcW w:type="dxa" w:w="144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Verified</w:t>
            </w:r>
          </w:p>
        </w:tc>
        <w:tc>
          <w:tcPr>
            <w:tcW w:type="dxa" w:w="1008"/>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S31</w:t>
            </w:r>
          </w:p>
        </w:tc>
        <w:tc>
          <w:tcPr>
            <w:tcW w:type="dxa" w:w="216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Survey metric, ±3.7% margin.</w:t>
            </w:r>
          </w:p>
        </w:tc>
      </w:tr>
      <w:tr>
        <w:trPr>
          <w:cantSplit/>
        </w:trPr>
        <w:tc>
          <w:tcPr>
            <w:tcW w:type="dxa" w:w="72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C041</w:t>
            </w:r>
          </w:p>
        </w:tc>
        <w:tc>
          <w:tcPr>
            <w:tcW w:type="dxa" w:w="4536"/>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LTC carried $33.9M of unstarted 2025 capital into 2026.</w:t>
            </w:r>
          </w:p>
        </w:tc>
        <w:tc>
          <w:tcPr>
            <w:tcW w:type="dxa" w:w="144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Verified</w:t>
            </w:r>
          </w:p>
        </w:tc>
        <w:tc>
          <w:tcPr>
            <w:tcW w:type="dxa" w:w="1008"/>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S31</w:t>
            </w:r>
          </w:p>
        </w:tc>
        <w:tc>
          <w:tcPr>
            <w:tcW w:type="dxa" w:w="216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Not proof of failed projects.</w:t>
            </w:r>
          </w:p>
        </w:tc>
      </w:tr>
      <w:tr>
        <w:trPr>
          <w:cantSplit/>
        </w:trPr>
        <w:tc>
          <w:tcPr>
            <w:tcW w:type="dxa" w:w="72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C042</w:t>
            </w:r>
          </w:p>
        </w:tc>
        <w:tc>
          <w:tcPr>
            <w:tcW w:type="dxa" w:w="4536"/>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LPS 2025 net cost was $186.7M.</w:t>
            </w:r>
          </w:p>
        </w:tc>
        <w:tc>
          <w:tcPr>
            <w:tcW w:type="dxa" w:w="144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Verified</w:t>
            </w:r>
          </w:p>
        </w:tc>
        <w:tc>
          <w:tcPr>
            <w:tcW w:type="dxa" w:w="1008"/>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S32</w:t>
            </w:r>
          </w:p>
        </w:tc>
        <w:tc>
          <w:tcPr>
            <w:tcW w:type="dxa" w:w="216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In line with approved budget.</w:t>
            </w:r>
          </w:p>
        </w:tc>
      </w:tr>
      <w:tr>
        <w:trPr>
          <w:cantSplit/>
        </w:trPr>
        <w:tc>
          <w:tcPr>
            <w:tcW w:type="dxa" w:w="72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C043</w:t>
            </w:r>
          </w:p>
        </w:tc>
        <w:tc>
          <w:tcPr>
            <w:tcW w:type="dxa" w:w="4536"/>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LPS answered 238,293 9-1-1 calls.</w:t>
            </w:r>
          </w:p>
        </w:tc>
        <w:tc>
          <w:tcPr>
            <w:tcW w:type="dxa" w:w="144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Verified</w:t>
            </w:r>
          </w:p>
        </w:tc>
        <w:tc>
          <w:tcPr>
            <w:tcW w:type="dxa" w:w="1008"/>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S32</w:t>
            </w:r>
          </w:p>
        </w:tc>
        <w:tc>
          <w:tcPr>
            <w:tcW w:type="dxa" w:w="216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Communications metric.</w:t>
            </w:r>
          </w:p>
        </w:tc>
      </w:tr>
      <w:tr>
        <w:trPr>
          <w:cantSplit/>
        </w:trPr>
        <w:tc>
          <w:tcPr>
            <w:tcW w:type="dxa" w:w="72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C044</w:t>
            </w:r>
          </w:p>
        </w:tc>
        <w:tc>
          <w:tcPr>
            <w:tcW w:type="dxa" w:w="4536"/>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LPS completed 288 of 375 strategic deliverables.</w:t>
            </w:r>
          </w:p>
        </w:tc>
        <w:tc>
          <w:tcPr>
            <w:tcW w:type="dxa" w:w="144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Verified / derived</w:t>
            </w:r>
          </w:p>
        </w:tc>
        <w:tc>
          <w:tcPr>
            <w:tcW w:type="dxa" w:w="1008"/>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S32</w:t>
            </w:r>
          </w:p>
        </w:tc>
        <w:tc>
          <w:tcPr>
            <w:tcW w:type="dxa" w:w="216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77%, second year of plan.</w:t>
            </w:r>
          </w:p>
        </w:tc>
      </w:tr>
      <w:tr>
        <w:trPr>
          <w:cantSplit/>
        </w:trPr>
        <w:tc>
          <w:tcPr>
            <w:tcW w:type="dxa" w:w="72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C045</w:t>
            </w:r>
          </w:p>
        </w:tc>
        <w:tc>
          <w:tcPr>
            <w:tcW w:type="dxa" w:w="4536"/>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CIP audit contains 10 observations.</w:t>
            </w:r>
          </w:p>
        </w:tc>
        <w:tc>
          <w:tcPr>
            <w:tcW w:type="dxa" w:w="144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Verified</w:t>
            </w:r>
          </w:p>
        </w:tc>
        <w:tc>
          <w:tcPr>
            <w:tcW w:type="dxa" w:w="1008"/>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S20</w:t>
            </w:r>
          </w:p>
        </w:tc>
        <w:tc>
          <w:tcPr>
            <w:tcW w:type="dxa" w:w="216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2"/>
              </w:rPr>
              <w:t>Final Feb. 12, 2026.</w:t>
            </w:r>
          </w:p>
        </w:tc>
      </w:tr>
    </w:tbl>
    <w:p>
      <w:pPr>
        <w:spacing w:after="0"/>
      </w:pPr>
    </w:p>
    <w:p>
      <w:pPr>
        <w:spacing w:after="60"/>
      </w:pPr>
      <w:r>
        <w:rPr>
          <w:rFonts w:ascii="Aptos" w:hAnsi="Aptos"/>
          <w:b/>
          <w:color w:val="2166A5"/>
          <w:sz w:val="16"/>
        </w:rPr>
        <w:t>APPENDIX C</w:t>
      </w:r>
    </w:p>
    <w:p>
      <w:pPr>
        <w:pStyle w:val="Heading1"/>
      </w:pPr>
      <w:r>
        <w:t>Official source register</w:t>
      </w:r>
    </w:p>
    <w:tbl>
      <w:tblPr>
        <w:tblW w:type="auto" w:w="0"/>
        <w:jc w:val="center"/>
        <w:tblLayout w:type="fixed"/>
        <w:tblLook w:firstColumn="1" w:firstRow="1" w:lastColumn="0" w:lastRow="0" w:noHBand="0" w:noVBand="1" w:val="04A0"/>
      </w:tblPr>
      <w:tblGrid>
        <w:gridCol w:w="3369"/>
        <w:gridCol w:w="3369"/>
        <w:gridCol w:w="3369"/>
      </w:tblGrid>
      <w:tr>
        <w:trPr>
          <w:tblHeader w:val="true"/>
        </w:trPr>
        <w:tc>
          <w:tcPr>
            <w:tcW w:type="dxa" w:w="3369"/>
            <w:shd w:fill="17365D"/>
            <w:tcMar>
              <w:top w:w="90" w:type="dxa"/>
              <w:start w:w="90" w:type="dxa"/>
              <w:bottom w:w="90" w:type="dxa"/>
              <w:end w:w="90" w:type="dxa"/>
            </w:tcMar>
          </w:tcPr>
          <w:p>
            <w:r>
              <w:rPr>
                <w:rFonts w:ascii="Aptos" w:hAnsi="Aptos"/>
                <w:b/>
                <w:color w:val="FFFFFF"/>
                <w:sz w:val="15"/>
              </w:rPr>
              <w:t>ID</w:t>
            </w:r>
          </w:p>
        </w:tc>
        <w:tc>
          <w:tcPr>
            <w:tcW w:type="dxa" w:w="3369"/>
            <w:shd w:fill="17365D"/>
            <w:tcMar>
              <w:top w:w="90" w:type="dxa"/>
              <w:start w:w="90" w:type="dxa"/>
              <w:bottom w:w="90" w:type="dxa"/>
              <w:end w:w="90" w:type="dxa"/>
            </w:tcMar>
          </w:tcPr>
          <w:p>
            <w:r>
              <w:rPr>
                <w:rFonts w:ascii="Aptos" w:hAnsi="Aptos"/>
                <w:b/>
                <w:color w:val="FFFFFF"/>
                <w:sz w:val="15"/>
              </w:rPr>
              <w:t>Source</w:t>
            </w:r>
          </w:p>
        </w:tc>
        <w:tc>
          <w:tcPr>
            <w:tcW w:type="dxa" w:w="3369"/>
            <w:shd w:fill="17365D"/>
            <w:tcMar>
              <w:top w:w="90" w:type="dxa"/>
              <w:start w:w="90" w:type="dxa"/>
              <w:bottom w:w="90" w:type="dxa"/>
              <w:end w:w="90" w:type="dxa"/>
            </w:tcMar>
          </w:tcPr>
          <w:p>
            <w:r>
              <w:rPr>
                <w:rFonts w:ascii="Aptos" w:hAnsi="Aptos"/>
                <w:b/>
                <w:color w:val="FFFFFF"/>
                <w:sz w:val="15"/>
              </w:rPr>
              <w:t>Use</w:t>
            </w:r>
          </w:p>
        </w:tc>
      </w:tr>
      <w:tr>
        <w:trPr>
          <w:cantSplit/>
        </w:trPr>
        <w:tc>
          <w:tcPr>
            <w:tcW w:type="dxa" w:w="720"/>
            <w:tcMar>
              <w:top w:w="70" w:type="dxa"/>
              <w:start w:w="80" w:type="dxa"/>
              <w:bottom w:w="70" w:type="dxa"/>
              <w:end w:w="80" w:type="dxa"/>
            </w:tcMar>
            <w:tcBorders>
              <w:bottom w:val="single" w:sz="2" w:color="CBD6E0"/>
            </w:tcBorders>
          </w:tcPr>
          <w:p>
            <w:pPr>
              <w:spacing w:after="0"/>
            </w:pPr>
            <w:r>
              <w:rPr>
                <w:rFonts w:ascii="Aptos" w:hAnsi="Aptos"/>
                <w:b/>
                <w:color w:val="2166A5"/>
                <w:sz w:val="13"/>
              </w:rPr>
              <w:t>S01</w:t>
            </w:r>
          </w:p>
        </w:tc>
        <w:tc>
          <w:tcPr>
            <w:tcW w:type="dxa" w:w="6480"/>
            <w:tcMar>
              <w:top w:w="70" w:type="dxa"/>
              <w:start w:w="80" w:type="dxa"/>
              <w:bottom w:w="70" w:type="dxa"/>
              <w:end w:w="80" w:type="dxa"/>
            </w:tcMar>
            <w:tcBorders>
              <w:bottom w:val="single" w:sz="2" w:color="CBD6E0"/>
            </w:tcBorders>
          </w:tcPr>
          <w:p>
            <w:pPr>
              <w:spacing w:after="0"/>
            </w:pPr>
            <w:hyperlink r:id="rId16">
              <w:r>
                <w:rPr>
                  <w:color w:val="2166A5"/>
                  <w:u w:val="single"/>
                </w:rPr>
                <w:t>City of London — 2026 Annual Budget Update</w:t>
              </w:r>
            </w:hyperlink>
          </w:p>
        </w:tc>
        <w:tc>
          <w:tcPr>
            <w:tcW w:type="dxa" w:w="2592"/>
            <w:tcMar>
              <w:top w:w="70" w:type="dxa"/>
              <w:start w:w="80" w:type="dxa"/>
              <w:bottom w:w="70" w:type="dxa"/>
              <w:end w:w="80" w:type="dxa"/>
            </w:tcMar>
            <w:tcBorders>
              <w:bottom w:val="single" w:sz="2" w:color="CBD6E0"/>
            </w:tcBorders>
          </w:tcPr>
          <w:p>
            <w:pPr>
              <w:spacing w:after="0"/>
            </w:pPr>
            <w:r>
              <w:rPr>
                <w:rFonts w:ascii="Aptos" w:hAnsi="Aptos"/>
                <w:color w:val="182433"/>
                <w:sz w:val="13"/>
              </w:rPr>
              <w:t>Budget and capital plans</w:t>
            </w:r>
          </w:p>
        </w:tc>
      </w:tr>
      <w:tr>
        <w:trPr>
          <w:cantSplit/>
        </w:trPr>
        <w:tc>
          <w:tcPr>
            <w:tcW w:type="dxa" w:w="720"/>
            <w:shd w:fill="F3F5F7"/>
            <w:tcMar>
              <w:top w:w="70" w:type="dxa"/>
              <w:start w:w="80" w:type="dxa"/>
              <w:bottom w:w="70" w:type="dxa"/>
              <w:end w:w="80" w:type="dxa"/>
            </w:tcMar>
            <w:tcBorders>
              <w:bottom w:val="single" w:sz="2" w:color="CBD6E0"/>
            </w:tcBorders>
          </w:tcPr>
          <w:p>
            <w:pPr>
              <w:spacing w:after="0"/>
            </w:pPr>
            <w:r>
              <w:rPr>
                <w:rFonts w:ascii="Aptos" w:hAnsi="Aptos"/>
                <w:b/>
                <w:color w:val="2166A5"/>
                <w:sz w:val="13"/>
              </w:rPr>
              <w:t>S02</w:t>
            </w:r>
          </w:p>
        </w:tc>
        <w:tc>
          <w:tcPr>
            <w:tcW w:type="dxa" w:w="6480"/>
            <w:shd w:fill="F3F5F7"/>
            <w:tcMar>
              <w:top w:w="70" w:type="dxa"/>
              <w:start w:w="80" w:type="dxa"/>
              <w:bottom w:w="70" w:type="dxa"/>
              <w:end w:w="80" w:type="dxa"/>
            </w:tcMar>
            <w:tcBorders>
              <w:bottom w:val="single" w:sz="2" w:color="CBD6E0"/>
            </w:tcBorders>
          </w:tcPr>
          <w:p>
            <w:pPr>
              <w:spacing w:after="0"/>
            </w:pPr>
            <w:hyperlink r:id="rId17">
              <w:r>
                <w:rPr>
                  <w:color w:val="2166A5"/>
                  <w:u w:val="single"/>
                </w:rPr>
                <w:t>City of London — 2025 Annual Development Report</w:t>
              </w:r>
            </w:hyperlink>
          </w:p>
        </w:tc>
        <w:tc>
          <w:tcPr>
            <w:tcW w:type="dxa" w:w="2592"/>
            <w:shd w:fill="F3F5F7"/>
            <w:tcMar>
              <w:top w:w="70" w:type="dxa"/>
              <w:start w:w="80" w:type="dxa"/>
              <w:bottom w:w="70" w:type="dxa"/>
              <w:end w:w="80" w:type="dxa"/>
            </w:tcMar>
            <w:tcBorders>
              <w:bottom w:val="single" w:sz="2" w:color="CBD6E0"/>
            </w:tcBorders>
          </w:tcPr>
          <w:p>
            <w:pPr>
              <w:spacing w:after="0"/>
            </w:pPr>
            <w:r>
              <w:rPr>
                <w:rFonts w:ascii="Aptos" w:hAnsi="Aptos"/>
                <w:color w:val="182433"/>
                <w:sz w:val="13"/>
              </w:rPr>
              <w:t>Permits, timelines, affordable/HSH pipeline</w:t>
            </w:r>
          </w:p>
        </w:tc>
      </w:tr>
      <w:tr>
        <w:trPr>
          <w:cantSplit/>
        </w:trPr>
        <w:tc>
          <w:tcPr>
            <w:tcW w:type="dxa" w:w="720"/>
            <w:tcMar>
              <w:top w:w="70" w:type="dxa"/>
              <w:start w:w="80" w:type="dxa"/>
              <w:bottom w:w="70" w:type="dxa"/>
              <w:end w:w="80" w:type="dxa"/>
            </w:tcMar>
            <w:tcBorders>
              <w:bottom w:val="single" w:sz="2" w:color="CBD6E0"/>
            </w:tcBorders>
          </w:tcPr>
          <w:p>
            <w:pPr>
              <w:spacing w:after="0"/>
            </w:pPr>
            <w:r>
              <w:rPr>
                <w:rFonts w:ascii="Aptos" w:hAnsi="Aptos"/>
                <w:b/>
                <w:color w:val="2166A5"/>
                <w:sz w:val="13"/>
              </w:rPr>
              <w:t>S03</w:t>
            </w:r>
          </w:p>
        </w:tc>
        <w:tc>
          <w:tcPr>
            <w:tcW w:type="dxa" w:w="6480"/>
            <w:tcMar>
              <w:top w:w="70" w:type="dxa"/>
              <w:start w:w="80" w:type="dxa"/>
              <w:bottom w:w="70" w:type="dxa"/>
              <w:end w:w="80" w:type="dxa"/>
            </w:tcMar>
            <w:tcBorders>
              <w:bottom w:val="single" w:sz="2" w:color="CBD6E0"/>
            </w:tcBorders>
          </w:tcPr>
          <w:p>
            <w:pPr>
              <w:spacing w:after="0"/>
            </w:pPr>
            <w:hyperlink r:id="rId18">
              <w:r>
                <w:rPr>
                  <w:color w:val="2166A5"/>
                  <w:u w:val="single"/>
                </w:rPr>
                <w:t>City of London — London exceeds HAF target (2025)</w:t>
              </w:r>
            </w:hyperlink>
          </w:p>
        </w:tc>
        <w:tc>
          <w:tcPr>
            <w:tcW w:type="dxa" w:w="2592"/>
            <w:tcMar>
              <w:top w:w="70" w:type="dxa"/>
              <w:start w:w="80" w:type="dxa"/>
              <w:bottom w:w="70" w:type="dxa"/>
              <w:end w:w="80" w:type="dxa"/>
            </w:tcMar>
            <w:tcBorders>
              <w:bottom w:val="single" w:sz="2" w:color="CBD6E0"/>
            </w:tcBorders>
          </w:tcPr>
          <w:p>
            <w:pPr>
              <w:spacing w:after="0"/>
            </w:pPr>
            <w:r>
              <w:rPr>
                <w:rFonts w:ascii="Aptos" w:hAnsi="Aptos"/>
                <w:color w:val="182433"/>
                <w:sz w:val="13"/>
              </w:rPr>
              <w:t>HAF target and permit result</w:t>
            </w:r>
          </w:p>
        </w:tc>
      </w:tr>
      <w:tr>
        <w:trPr>
          <w:cantSplit/>
        </w:trPr>
        <w:tc>
          <w:tcPr>
            <w:tcW w:type="dxa" w:w="720"/>
            <w:shd w:fill="F3F5F7"/>
            <w:tcMar>
              <w:top w:w="70" w:type="dxa"/>
              <w:start w:w="80" w:type="dxa"/>
              <w:bottom w:w="70" w:type="dxa"/>
              <w:end w:w="80" w:type="dxa"/>
            </w:tcMar>
            <w:tcBorders>
              <w:bottom w:val="single" w:sz="2" w:color="CBD6E0"/>
            </w:tcBorders>
          </w:tcPr>
          <w:p>
            <w:pPr>
              <w:spacing w:after="0"/>
            </w:pPr>
            <w:r>
              <w:rPr>
                <w:rFonts w:ascii="Aptos" w:hAnsi="Aptos"/>
                <w:b/>
                <w:color w:val="2166A5"/>
                <w:sz w:val="13"/>
              </w:rPr>
              <w:t>S04</w:t>
            </w:r>
          </w:p>
        </w:tc>
        <w:tc>
          <w:tcPr>
            <w:tcW w:type="dxa" w:w="6480"/>
            <w:shd w:fill="F3F5F7"/>
            <w:tcMar>
              <w:top w:w="70" w:type="dxa"/>
              <w:start w:w="80" w:type="dxa"/>
              <w:bottom w:w="70" w:type="dxa"/>
              <w:end w:w="80" w:type="dxa"/>
            </w:tcMar>
            <w:tcBorders>
              <w:bottom w:val="single" w:sz="2" w:color="CBD6E0"/>
            </w:tcBorders>
          </w:tcPr>
          <w:p>
            <w:pPr>
              <w:spacing w:after="0"/>
            </w:pPr>
            <w:hyperlink r:id="rId19">
              <w:r>
                <w:rPr>
                  <w:color w:val="2166A5"/>
                  <w:u w:val="single"/>
                </w:rPr>
                <w:t>City of London — Corporate Asset Management</w:t>
              </w:r>
            </w:hyperlink>
          </w:p>
        </w:tc>
        <w:tc>
          <w:tcPr>
            <w:tcW w:type="dxa" w:w="2592"/>
            <w:shd w:fill="F3F5F7"/>
            <w:tcMar>
              <w:top w:w="70" w:type="dxa"/>
              <w:start w:w="80" w:type="dxa"/>
              <w:bottom w:w="70" w:type="dxa"/>
              <w:end w:w="80" w:type="dxa"/>
            </w:tcMar>
            <w:tcBorders>
              <w:bottom w:val="single" w:sz="2" w:color="CBD6E0"/>
            </w:tcBorders>
          </w:tcPr>
          <w:p>
            <w:pPr>
              <w:spacing w:after="0"/>
            </w:pPr>
            <w:r>
              <w:rPr>
                <w:rFonts w:ascii="Aptos" w:hAnsi="Aptos"/>
                <w:color w:val="182433"/>
                <w:sz w:val="13"/>
              </w:rPr>
              <w:t>2023 CAM plan and gap context</w:t>
            </w:r>
          </w:p>
        </w:tc>
      </w:tr>
      <w:tr>
        <w:trPr>
          <w:cantSplit/>
        </w:trPr>
        <w:tc>
          <w:tcPr>
            <w:tcW w:type="dxa" w:w="720"/>
            <w:tcMar>
              <w:top w:w="70" w:type="dxa"/>
              <w:start w:w="80" w:type="dxa"/>
              <w:bottom w:w="70" w:type="dxa"/>
              <w:end w:w="80" w:type="dxa"/>
            </w:tcMar>
            <w:tcBorders>
              <w:bottom w:val="single" w:sz="2" w:color="CBD6E0"/>
            </w:tcBorders>
          </w:tcPr>
          <w:p>
            <w:pPr>
              <w:spacing w:after="0"/>
            </w:pPr>
            <w:r>
              <w:rPr>
                <w:rFonts w:ascii="Aptos" w:hAnsi="Aptos"/>
                <w:b/>
                <w:color w:val="2166A5"/>
                <w:sz w:val="13"/>
              </w:rPr>
              <w:t>S05</w:t>
            </w:r>
          </w:p>
        </w:tc>
        <w:tc>
          <w:tcPr>
            <w:tcW w:type="dxa" w:w="6480"/>
            <w:tcMar>
              <w:top w:w="70" w:type="dxa"/>
              <w:start w:w="80" w:type="dxa"/>
              <w:bottom w:w="70" w:type="dxa"/>
              <w:end w:w="80" w:type="dxa"/>
            </w:tcMar>
            <w:tcBorders>
              <w:bottom w:val="single" w:sz="2" w:color="CBD6E0"/>
            </w:tcBorders>
          </w:tcPr>
          <w:p>
            <w:pPr>
              <w:spacing w:after="0"/>
            </w:pPr>
            <w:hyperlink r:id="rId20">
              <w:r>
                <w:rPr>
                  <w:color w:val="2166A5"/>
                  <w:u w:val="single"/>
                </w:rPr>
                <w:t>City Bids and Tenders portal — Contract Awards / Annual Statistics</w:t>
              </w:r>
            </w:hyperlink>
          </w:p>
        </w:tc>
        <w:tc>
          <w:tcPr>
            <w:tcW w:type="dxa" w:w="2592"/>
            <w:tcMar>
              <w:top w:w="70" w:type="dxa"/>
              <w:start w:w="80" w:type="dxa"/>
              <w:bottom w:w="70" w:type="dxa"/>
              <w:end w:w="80" w:type="dxa"/>
            </w:tcMar>
            <w:tcBorders>
              <w:bottom w:val="single" w:sz="2" w:color="CBD6E0"/>
            </w:tcBorders>
          </w:tcPr>
          <w:p>
            <w:pPr>
              <w:spacing w:after="0"/>
            </w:pPr>
            <w:r>
              <w:rPr>
                <w:rFonts w:ascii="Aptos" w:hAnsi="Aptos"/>
                <w:color w:val="182433"/>
                <w:sz w:val="13"/>
              </w:rPr>
              <w:t>1,978-record procurement extraction</w:t>
            </w:r>
          </w:p>
        </w:tc>
      </w:tr>
      <w:tr>
        <w:trPr>
          <w:cantSplit/>
        </w:trPr>
        <w:tc>
          <w:tcPr>
            <w:tcW w:type="dxa" w:w="720"/>
            <w:shd w:fill="F3F5F7"/>
            <w:tcMar>
              <w:top w:w="70" w:type="dxa"/>
              <w:start w:w="80" w:type="dxa"/>
              <w:bottom w:w="70" w:type="dxa"/>
              <w:end w:w="80" w:type="dxa"/>
            </w:tcMar>
            <w:tcBorders>
              <w:bottom w:val="single" w:sz="2" w:color="CBD6E0"/>
            </w:tcBorders>
          </w:tcPr>
          <w:p>
            <w:pPr>
              <w:spacing w:after="0"/>
            </w:pPr>
            <w:r>
              <w:rPr>
                <w:rFonts w:ascii="Aptos" w:hAnsi="Aptos"/>
                <w:b/>
                <w:color w:val="2166A5"/>
                <w:sz w:val="13"/>
              </w:rPr>
              <w:t>S06</w:t>
            </w:r>
          </w:p>
        </w:tc>
        <w:tc>
          <w:tcPr>
            <w:tcW w:type="dxa" w:w="6480"/>
            <w:shd w:fill="F3F5F7"/>
            <w:tcMar>
              <w:top w:w="70" w:type="dxa"/>
              <w:start w:w="80" w:type="dxa"/>
              <w:bottom w:w="70" w:type="dxa"/>
              <w:end w:w="80" w:type="dxa"/>
            </w:tcMar>
            <w:tcBorders>
              <w:bottom w:val="single" w:sz="2" w:color="CBD6E0"/>
            </w:tcBorders>
          </w:tcPr>
          <w:p>
            <w:pPr>
              <w:spacing w:after="0"/>
            </w:pPr>
            <w:hyperlink r:id="rId21">
              <w:r>
                <w:rPr>
                  <w:color w:val="2166A5"/>
                  <w:u w:val="single"/>
                </w:rPr>
                <w:t>City of London — current Procurement of Goods and Services Policy</w:t>
              </w:r>
            </w:hyperlink>
          </w:p>
        </w:tc>
        <w:tc>
          <w:tcPr>
            <w:tcW w:type="dxa" w:w="2592"/>
            <w:shd w:fill="F3F5F7"/>
            <w:tcMar>
              <w:top w:w="70" w:type="dxa"/>
              <w:start w:w="80" w:type="dxa"/>
              <w:bottom w:w="70" w:type="dxa"/>
              <w:end w:w="80" w:type="dxa"/>
            </w:tcMar>
            <w:tcBorders>
              <w:bottom w:val="single" w:sz="2" w:color="CBD6E0"/>
            </w:tcBorders>
          </w:tcPr>
          <w:p>
            <w:pPr>
              <w:spacing w:after="0"/>
            </w:pPr>
            <w:r>
              <w:rPr>
                <w:rFonts w:ascii="Aptos" w:hAnsi="Aptos"/>
                <w:color w:val="182433"/>
                <w:sz w:val="13"/>
              </w:rPr>
              <w:t>Policy effective Oct. 1, 2025</w:t>
            </w:r>
          </w:p>
        </w:tc>
      </w:tr>
      <w:tr>
        <w:trPr>
          <w:cantSplit/>
        </w:trPr>
        <w:tc>
          <w:tcPr>
            <w:tcW w:type="dxa" w:w="720"/>
            <w:tcMar>
              <w:top w:w="70" w:type="dxa"/>
              <w:start w:w="80" w:type="dxa"/>
              <w:bottom w:w="70" w:type="dxa"/>
              <w:end w:w="80" w:type="dxa"/>
            </w:tcMar>
            <w:tcBorders>
              <w:bottom w:val="single" w:sz="2" w:color="CBD6E0"/>
            </w:tcBorders>
          </w:tcPr>
          <w:p>
            <w:pPr>
              <w:spacing w:after="0"/>
            </w:pPr>
            <w:r>
              <w:rPr>
                <w:rFonts w:ascii="Aptos" w:hAnsi="Aptos"/>
                <w:b/>
                <w:color w:val="2166A5"/>
                <w:sz w:val="13"/>
              </w:rPr>
              <w:t>S07</w:t>
            </w:r>
          </w:p>
        </w:tc>
        <w:tc>
          <w:tcPr>
            <w:tcW w:type="dxa" w:w="6480"/>
            <w:tcMar>
              <w:top w:w="70" w:type="dxa"/>
              <w:start w:w="80" w:type="dxa"/>
              <w:bottom w:w="70" w:type="dxa"/>
              <w:end w:w="80" w:type="dxa"/>
            </w:tcMar>
            <w:tcBorders>
              <w:bottom w:val="single" w:sz="2" w:color="CBD6E0"/>
            </w:tcBorders>
          </w:tcPr>
          <w:p>
            <w:pPr>
              <w:spacing w:after="0"/>
            </w:pPr>
            <w:hyperlink r:id="rId22">
              <w:r>
                <w:rPr>
                  <w:color w:val="2166A5"/>
                  <w:u w:val="single"/>
                </w:rPr>
                <w:t>2025 Procurement Compliance Report</w:t>
              </w:r>
            </w:hyperlink>
          </w:p>
        </w:tc>
        <w:tc>
          <w:tcPr>
            <w:tcW w:type="dxa" w:w="2592"/>
            <w:tcMar>
              <w:top w:w="70" w:type="dxa"/>
              <w:start w:w="80" w:type="dxa"/>
              <w:bottom w:w="70" w:type="dxa"/>
              <w:end w:w="80" w:type="dxa"/>
            </w:tcMar>
            <w:tcBorders>
              <w:bottom w:val="single" w:sz="2" w:color="CBD6E0"/>
            </w:tcBorders>
          </w:tcPr>
          <w:p>
            <w:pPr>
              <w:spacing w:after="0"/>
            </w:pPr>
            <w:r>
              <w:rPr>
                <w:rFonts w:ascii="Aptos" w:hAnsi="Aptos"/>
                <w:color w:val="182433"/>
                <w:sz w:val="13"/>
              </w:rPr>
              <w:t>Annual compliance review</w:t>
            </w:r>
          </w:p>
        </w:tc>
      </w:tr>
      <w:tr>
        <w:trPr>
          <w:cantSplit/>
        </w:trPr>
        <w:tc>
          <w:tcPr>
            <w:tcW w:type="dxa" w:w="720"/>
            <w:shd w:fill="F3F5F7"/>
            <w:tcMar>
              <w:top w:w="70" w:type="dxa"/>
              <w:start w:w="80" w:type="dxa"/>
              <w:bottom w:w="70" w:type="dxa"/>
              <w:end w:w="80" w:type="dxa"/>
            </w:tcMar>
            <w:tcBorders>
              <w:bottom w:val="single" w:sz="2" w:color="CBD6E0"/>
            </w:tcBorders>
          </w:tcPr>
          <w:p>
            <w:pPr>
              <w:spacing w:after="0"/>
            </w:pPr>
            <w:r>
              <w:rPr>
                <w:rFonts w:ascii="Aptos" w:hAnsi="Aptos"/>
                <w:b/>
                <w:color w:val="2166A5"/>
                <w:sz w:val="13"/>
              </w:rPr>
              <w:t>S08</w:t>
            </w:r>
          </w:p>
        </w:tc>
        <w:tc>
          <w:tcPr>
            <w:tcW w:type="dxa" w:w="6480"/>
            <w:shd w:fill="F3F5F7"/>
            <w:tcMar>
              <w:top w:w="70" w:type="dxa"/>
              <w:start w:w="80" w:type="dxa"/>
              <w:bottom w:w="70" w:type="dxa"/>
              <w:end w:w="80" w:type="dxa"/>
            </w:tcMar>
            <w:tcBorders>
              <w:bottom w:val="single" w:sz="2" w:color="CBD6E0"/>
            </w:tcBorders>
          </w:tcPr>
          <w:p>
            <w:pPr>
              <w:spacing w:after="0"/>
            </w:pPr>
            <w:hyperlink r:id="rId23">
              <w:r>
                <w:rPr>
                  <w:color w:val="2166A5"/>
                  <w:u w:val="single"/>
                </w:rPr>
                <w:t>Bi-Annual Procurement Report, May 27 2026</w:t>
              </w:r>
            </w:hyperlink>
          </w:p>
        </w:tc>
        <w:tc>
          <w:tcPr>
            <w:tcW w:type="dxa" w:w="2592"/>
            <w:shd w:fill="F3F5F7"/>
            <w:tcMar>
              <w:top w:w="70" w:type="dxa"/>
              <w:start w:w="80" w:type="dxa"/>
              <w:bottom w:w="70" w:type="dxa"/>
              <w:end w:w="80" w:type="dxa"/>
            </w:tcMar>
            <w:tcBorders>
              <w:bottom w:val="single" w:sz="2" w:color="CBD6E0"/>
            </w:tcBorders>
          </w:tcPr>
          <w:p>
            <w:pPr>
              <w:spacing w:after="0"/>
            </w:pPr>
            <w:r>
              <w:rPr>
                <w:rFonts w:ascii="Aptos" w:hAnsi="Aptos"/>
                <w:color w:val="182433"/>
                <w:sz w:val="13"/>
              </w:rPr>
              <w:t>Awards over reporting thresholds</w:t>
            </w:r>
          </w:p>
        </w:tc>
      </w:tr>
      <w:tr>
        <w:trPr>
          <w:cantSplit/>
        </w:trPr>
        <w:tc>
          <w:tcPr>
            <w:tcW w:type="dxa" w:w="720"/>
            <w:tcMar>
              <w:top w:w="70" w:type="dxa"/>
              <w:start w:w="80" w:type="dxa"/>
              <w:bottom w:w="70" w:type="dxa"/>
              <w:end w:w="80" w:type="dxa"/>
            </w:tcMar>
            <w:tcBorders>
              <w:bottom w:val="single" w:sz="2" w:color="CBD6E0"/>
            </w:tcBorders>
          </w:tcPr>
          <w:p>
            <w:pPr>
              <w:spacing w:after="0"/>
            </w:pPr>
            <w:r>
              <w:rPr>
                <w:rFonts w:ascii="Aptos" w:hAnsi="Aptos"/>
                <w:b/>
                <w:color w:val="2166A5"/>
                <w:sz w:val="13"/>
              </w:rPr>
              <w:t>S09</w:t>
            </w:r>
          </w:p>
        </w:tc>
        <w:tc>
          <w:tcPr>
            <w:tcW w:type="dxa" w:w="6480"/>
            <w:tcMar>
              <w:top w:w="70" w:type="dxa"/>
              <w:start w:w="80" w:type="dxa"/>
              <w:bottom w:w="70" w:type="dxa"/>
              <w:end w:w="80" w:type="dxa"/>
            </w:tcMar>
            <w:tcBorders>
              <w:bottom w:val="single" w:sz="2" w:color="CBD6E0"/>
            </w:tcBorders>
          </w:tcPr>
          <w:p>
            <w:pPr>
              <w:spacing w:after="0"/>
            </w:pPr>
            <w:hyperlink r:id="rId24">
              <w:r>
                <w:rPr>
                  <w:color w:val="2166A5"/>
                  <w:u w:val="single"/>
                </w:rPr>
                <w:t>2024 Annual Report on DC Reserve Funds</w:t>
              </w:r>
            </w:hyperlink>
          </w:p>
        </w:tc>
        <w:tc>
          <w:tcPr>
            <w:tcW w:type="dxa" w:w="2592"/>
            <w:tcMar>
              <w:top w:w="70" w:type="dxa"/>
              <w:start w:w="80" w:type="dxa"/>
              <w:bottom w:w="70" w:type="dxa"/>
              <w:end w:w="80" w:type="dxa"/>
            </w:tcMar>
            <w:tcBorders>
              <w:bottom w:val="single" w:sz="2" w:color="CBD6E0"/>
            </w:tcBorders>
          </w:tcPr>
          <w:p>
            <w:pPr>
              <w:spacing w:after="0"/>
            </w:pPr>
            <w:r>
              <w:rPr>
                <w:rFonts w:ascii="Aptos" w:hAnsi="Aptos"/>
                <w:color w:val="182433"/>
                <w:sz w:val="13"/>
              </w:rPr>
              <w:t>2024 reserves, shortfall, project tables</w:t>
            </w:r>
          </w:p>
        </w:tc>
      </w:tr>
      <w:tr>
        <w:trPr>
          <w:cantSplit/>
        </w:trPr>
        <w:tc>
          <w:tcPr>
            <w:tcW w:type="dxa" w:w="720"/>
            <w:shd w:fill="F3F5F7"/>
            <w:tcMar>
              <w:top w:w="70" w:type="dxa"/>
              <w:start w:w="80" w:type="dxa"/>
              <w:bottom w:w="70" w:type="dxa"/>
              <w:end w:w="80" w:type="dxa"/>
            </w:tcMar>
            <w:tcBorders>
              <w:bottom w:val="single" w:sz="2" w:color="CBD6E0"/>
            </w:tcBorders>
          </w:tcPr>
          <w:p>
            <w:pPr>
              <w:spacing w:after="0"/>
            </w:pPr>
            <w:r>
              <w:rPr>
                <w:rFonts w:ascii="Aptos" w:hAnsi="Aptos"/>
                <w:b/>
                <w:color w:val="2166A5"/>
                <w:sz w:val="13"/>
              </w:rPr>
              <w:t>S10</w:t>
            </w:r>
          </w:p>
        </w:tc>
        <w:tc>
          <w:tcPr>
            <w:tcW w:type="dxa" w:w="6480"/>
            <w:shd w:fill="F3F5F7"/>
            <w:tcMar>
              <w:top w:w="70" w:type="dxa"/>
              <w:start w:w="80" w:type="dxa"/>
              <w:bottom w:w="70" w:type="dxa"/>
              <w:end w:w="80" w:type="dxa"/>
            </w:tcMar>
            <w:tcBorders>
              <w:bottom w:val="single" w:sz="2" w:color="CBD6E0"/>
            </w:tcBorders>
          </w:tcPr>
          <w:p>
            <w:pPr>
              <w:spacing w:after="0"/>
            </w:pPr>
            <w:hyperlink r:id="rId25">
              <w:r>
                <w:rPr>
                  <w:color w:val="2166A5"/>
                  <w:u w:val="single"/>
                </w:rPr>
                <w:t>2025 Annual Report on DC Reserve Funds</w:t>
              </w:r>
            </w:hyperlink>
          </w:p>
        </w:tc>
        <w:tc>
          <w:tcPr>
            <w:tcW w:type="dxa" w:w="2592"/>
            <w:shd w:fill="F3F5F7"/>
            <w:tcMar>
              <w:top w:w="70" w:type="dxa"/>
              <w:start w:w="80" w:type="dxa"/>
              <w:bottom w:w="70" w:type="dxa"/>
              <w:end w:w="80" w:type="dxa"/>
            </w:tcMar>
            <w:tcBorders>
              <w:bottom w:val="single" w:sz="2" w:color="CBD6E0"/>
            </w:tcBorders>
          </w:tcPr>
          <w:p>
            <w:pPr>
              <w:spacing w:after="0"/>
            </w:pPr>
            <w:r>
              <w:rPr>
                <w:rFonts w:ascii="Aptos" w:hAnsi="Aptos"/>
                <w:color w:val="182433"/>
                <w:sz w:val="13"/>
              </w:rPr>
              <w:t>2025 contribution, disbursement, balance and debt</w:t>
            </w:r>
          </w:p>
        </w:tc>
      </w:tr>
      <w:tr>
        <w:trPr>
          <w:cantSplit/>
        </w:trPr>
        <w:tc>
          <w:tcPr>
            <w:tcW w:type="dxa" w:w="720"/>
            <w:tcMar>
              <w:top w:w="70" w:type="dxa"/>
              <w:start w:w="80" w:type="dxa"/>
              <w:bottom w:w="70" w:type="dxa"/>
              <w:end w:w="80" w:type="dxa"/>
            </w:tcMar>
            <w:tcBorders>
              <w:bottom w:val="single" w:sz="2" w:color="CBD6E0"/>
            </w:tcBorders>
          </w:tcPr>
          <w:p>
            <w:pPr>
              <w:spacing w:after="0"/>
            </w:pPr>
            <w:r>
              <w:rPr>
                <w:rFonts w:ascii="Aptos" w:hAnsi="Aptos"/>
                <w:b/>
                <w:color w:val="2166A5"/>
                <w:sz w:val="13"/>
              </w:rPr>
              <w:t>S11</w:t>
            </w:r>
          </w:p>
        </w:tc>
        <w:tc>
          <w:tcPr>
            <w:tcW w:type="dxa" w:w="6480"/>
            <w:tcMar>
              <w:top w:w="70" w:type="dxa"/>
              <w:start w:w="80" w:type="dxa"/>
              <w:bottom w:w="70" w:type="dxa"/>
              <w:end w:w="80" w:type="dxa"/>
            </w:tcMar>
            <w:tcBorders>
              <w:bottom w:val="single" w:sz="2" w:color="CBD6E0"/>
            </w:tcBorders>
          </w:tcPr>
          <w:p>
            <w:pPr>
              <w:spacing w:after="0"/>
            </w:pPr>
            <w:hyperlink r:id="rId26">
              <w:r>
                <w:rPr>
                  <w:color w:val="2166A5"/>
                  <w:u w:val="single"/>
                </w:rPr>
                <w:t>City financial reporting page — 2024 audited statements</w:t>
              </w:r>
            </w:hyperlink>
          </w:p>
        </w:tc>
        <w:tc>
          <w:tcPr>
            <w:tcW w:type="dxa" w:w="2592"/>
            <w:tcMar>
              <w:top w:w="70" w:type="dxa"/>
              <w:start w:w="80" w:type="dxa"/>
              <w:bottom w:w="70" w:type="dxa"/>
              <w:end w:w="80" w:type="dxa"/>
            </w:tcMar>
            <w:tcBorders>
              <w:bottom w:val="single" w:sz="2" w:color="CBD6E0"/>
            </w:tcBorders>
          </w:tcPr>
          <w:p>
            <w:pPr>
              <w:spacing w:after="0"/>
            </w:pPr>
            <w:r>
              <w:rPr>
                <w:rFonts w:ascii="Aptos" w:hAnsi="Aptos"/>
                <w:color w:val="182433"/>
                <w:sz w:val="13"/>
              </w:rPr>
              <w:t>2024 functional budget/actual and condition</w:t>
            </w:r>
          </w:p>
        </w:tc>
      </w:tr>
      <w:tr>
        <w:trPr>
          <w:cantSplit/>
        </w:trPr>
        <w:tc>
          <w:tcPr>
            <w:tcW w:type="dxa" w:w="720"/>
            <w:shd w:fill="F3F5F7"/>
            <w:tcMar>
              <w:top w:w="70" w:type="dxa"/>
              <w:start w:w="80" w:type="dxa"/>
              <w:bottom w:w="70" w:type="dxa"/>
              <w:end w:w="80" w:type="dxa"/>
            </w:tcMar>
            <w:tcBorders>
              <w:bottom w:val="single" w:sz="2" w:color="CBD6E0"/>
            </w:tcBorders>
          </w:tcPr>
          <w:p>
            <w:pPr>
              <w:spacing w:after="0"/>
            </w:pPr>
            <w:r>
              <w:rPr>
                <w:rFonts w:ascii="Aptos" w:hAnsi="Aptos"/>
                <w:b/>
                <w:color w:val="2166A5"/>
                <w:sz w:val="13"/>
              </w:rPr>
              <w:t>S12</w:t>
            </w:r>
          </w:p>
        </w:tc>
        <w:tc>
          <w:tcPr>
            <w:tcW w:type="dxa" w:w="6480"/>
            <w:shd w:fill="F3F5F7"/>
            <w:tcMar>
              <w:top w:w="70" w:type="dxa"/>
              <w:start w:w="80" w:type="dxa"/>
              <w:bottom w:w="70" w:type="dxa"/>
              <w:end w:w="80" w:type="dxa"/>
            </w:tcMar>
            <w:tcBorders>
              <w:bottom w:val="single" w:sz="2" w:color="CBD6E0"/>
            </w:tcBorders>
          </w:tcPr>
          <w:p>
            <w:pPr>
              <w:spacing w:after="0"/>
            </w:pPr>
            <w:hyperlink r:id="rId27">
              <w:r>
                <w:rPr>
                  <w:color w:val="2166A5"/>
                  <w:u w:val="single"/>
                </w:rPr>
                <w:t>2025 Consolidated Financial Statements</w:t>
              </w:r>
            </w:hyperlink>
          </w:p>
        </w:tc>
        <w:tc>
          <w:tcPr>
            <w:tcW w:type="dxa" w:w="2592"/>
            <w:shd w:fill="F3F5F7"/>
            <w:tcMar>
              <w:top w:w="70" w:type="dxa"/>
              <w:start w:w="80" w:type="dxa"/>
              <w:bottom w:w="70" w:type="dxa"/>
              <w:end w:w="80" w:type="dxa"/>
            </w:tcMar>
            <w:tcBorders>
              <w:bottom w:val="single" w:sz="2" w:color="CBD6E0"/>
            </w:tcBorders>
          </w:tcPr>
          <w:p>
            <w:pPr>
              <w:spacing w:after="0"/>
            </w:pPr>
            <w:r>
              <w:rPr>
                <w:rFonts w:ascii="Aptos" w:hAnsi="Aptos"/>
                <w:color w:val="182433"/>
                <w:sz w:val="13"/>
              </w:rPr>
              <w:t>2025 audited annual surplus</w:t>
            </w:r>
          </w:p>
        </w:tc>
      </w:tr>
      <w:tr>
        <w:trPr>
          <w:cantSplit/>
        </w:trPr>
        <w:tc>
          <w:tcPr>
            <w:tcW w:type="dxa" w:w="720"/>
            <w:tcMar>
              <w:top w:w="70" w:type="dxa"/>
              <w:start w:w="80" w:type="dxa"/>
              <w:bottom w:w="70" w:type="dxa"/>
              <w:end w:w="80" w:type="dxa"/>
            </w:tcMar>
            <w:tcBorders>
              <w:bottom w:val="single" w:sz="2" w:color="CBD6E0"/>
            </w:tcBorders>
          </w:tcPr>
          <w:p>
            <w:pPr>
              <w:spacing w:after="0"/>
            </w:pPr>
            <w:r>
              <w:rPr>
                <w:rFonts w:ascii="Aptos" w:hAnsi="Aptos"/>
                <w:b/>
                <w:color w:val="2166A5"/>
                <w:sz w:val="13"/>
              </w:rPr>
              <w:t>S13</w:t>
            </w:r>
          </w:p>
        </w:tc>
        <w:tc>
          <w:tcPr>
            <w:tcW w:type="dxa" w:w="6480"/>
            <w:tcMar>
              <w:top w:w="70" w:type="dxa"/>
              <w:start w:w="80" w:type="dxa"/>
              <w:bottom w:w="70" w:type="dxa"/>
              <w:end w:w="80" w:type="dxa"/>
            </w:tcMar>
            <w:tcBorders>
              <w:bottom w:val="single" w:sz="2" w:color="CBD6E0"/>
            </w:tcBorders>
          </w:tcPr>
          <w:p>
            <w:pPr>
              <w:spacing w:after="0"/>
            </w:pPr>
            <w:hyperlink r:id="rId28">
              <w:r>
                <w:rPr>
                  <w:color w:val="2166A5"/>
                  <w:u w:val="single"/>
                </w:rPr>
                <w:t>2025 Consolidated Financial Report presentation</w:t>
              </w:r>
            </w:hyperlink>
          </w:p>
        </w:tc>
        <w:tc>
          <w:tcPr>
            <w:tcW w:type="dxa" w:w="2592"/>
            <w:tcMar>
              <w:top w:w="70" w:type="dxa"/>
              <w:start w:w="80" w:type="dxa"/>
              <w:bottom w:w="70" w:type="dxa"/>
              <w:end w:w="80" w:type="dxa"/>
            </w:tcMar>
            <w:tcBorders>
              <w:bottom w:val="single" w:sz="2" w:color="CBD6E0"/>
            </w:tcBorders>
          </w:tcPr>
          <w:p>
            <w:pPr>
              <w:spacing w:after="0"/>
            </w:pPr>
            <w:r>
              <w:rPr>
                <w:rFonts w:ascii="Aptos" w:hAnsi="Aptos"/>
                <w:color w:val="182433"/>
                <w:sz w:val="13"/>
              </w:rPr>
              <w:t>Variance explanation</w:t>
            </w:r>
          </w:p>
        </w:tc>
      </w:tr>
      <w:tr>
        <w:trPr>
          <w:cantSplit/>
        </w:trPr>
        <w:tc>
          <w:tcPr>
            <w:tcW w:type="dxa" w:w="720"/>
            <w:shd w:fill="F3F5F7"/>
            <w:tcMar>
              <w:top w:w="70" w:type="dxa"/>
              <w:start w:w="80" w:type="dxa"/>
              <w:bottom w:w="70" w:type="dxa"/>
              <w:end w:w="80" w:type="dxa"/>
            </w:tcMar>
            <w:tcBorders>
              <w:bottom w:val="single" w:sz="2" w:color="CBD6E0"/>
            </w:tcBorders>
          </w:tcPr>
          <w:p>
            <w:pPr>
              <w:spacing w:after="0"/>
            </w:pPr>
            <w:r>
              <w:rPr>
                <w:rFonts w:ascii="Aptos" w:hAnsi="Aptos"/>
                <w:b/>
                <w:color w:val="2166A5"/>
                <w:sz w:val="13"/>
              </w:rPr>
              <w:t>S14</w:t>
            </w:r>
          </w:p>
        </w:tc>
        <w:tc>
          <w:tcPr>
            <w:tcW w:type="dxa" w:w="6480"/>
            <w:shd w:fill="F3F5F7"/>
            <w:tcMar>
              <w:top w:w="70" w:type="dxa"/>
              <w:start w:w="80" w:type="dxa"/>
              <w:bottom w:w="70" w:type="dxa"/>
              <w:end w:w="80" w:type="dxa"/>
            </w:tcMar>
            <w:tcBorders>
              <w:bottom w:val="single" w:sz="2" w:color="CBD6E0"/>
            </w:tcBorders>
          </w:tcPr>
          <w:p>
            <w:pPr>
              <w:spacing w:after="0"/>
            </w:pPr>
            <w:hyperlink r:id="rId29">
              <w:r>
                <w:rPr>
                  <w:color w:val="2166A5"/>
                  <w:u w:val="single"/>
                </w:rPr>
                <w:t>City of London Community Grants Program</w:t>
              </w:r>
            </w:hyperlink>
          </w:p>
        </w:tc>
        <w:tc>
          <w:tcPr>
            <w:tcW w:type="dxa" w:w="2592"/>
            <w:shd w:fill="F3F5F7"/>
            <w:tcMar>
              <w:top w:w="70" w:type="dxa"/>
              <w:start w:w="80" w:type="dxa"/>
              <w:bottom w:w="70" w:type="dxa"/>
              <w:end w:w="80" w:type="dxa"/>
            </w:tcMar>
            <w:tcBorders>
              <w:bottom w:val="single" w:sz="2" w:color="CBD6E0"/>
            </w:tcBorders>
          </w:tcPr>
          <w:p>
            <w:pPr>
              <w:spacing w:after="0"/>
            </w:pPr>
            <w:r>
              <w:rPr>
                <w:rFonts w:ascii="Aptos" w:hAnsi="Aptos"/>
                <w:color w:val="182433"/>
                <w:sz w:val="13"/>
              </w:rPr>
              <w:t>42 multi-year and 16 annual allocations</w:t>
            </w:r>
          </w:p>
        </w:tc>
      </w:tr>
      <w:tr>
        <w:trPr>
          <w:cantSplit/>
        </w:trPr>
        <w:tc>
          <w:tcPr>
            <w:tcW w:type="dxa" w:w="720"/>
            <w:tcMar>
              <w:top w:w="70" w:type="dxa"/>
              <w:start w:w="80" w:type="dxa"/>
              <w:bottom w:w="70" w:type="dxa"/>
              <w:end w:w="80" w:type="dxa"/>
            </w:tcMar>
            <w:tcBorders>
              <w:bottom w:val="single" w:sz="2" w:color="CBD6E0"/>
            </w:tcBorders>
          </w:tcPr>
          <w:p>
            <w:pPr>
              <w:spacing w:after="0"/>
            </w:pPr>
            <w:r>
              <w:rPr>
                <w:rFonts w:ascii="Aptos" w:hAnsi="Aptos"/>
                <w:b/>
                <w:color w:val="2166A5"/>
                <w:sz w:val="13"/>
              </w:rPr>
              <w:t>S15</w:t>
            </w:r>
          </w:p>
        </w:tc>
        <w:tc>
          <w:tcPr>
            <w:tcW w:type="dxa" w:w="6480"/>
            <w:tcMar>
              <w:top w:w="70" w:type="dxa"/>
              <w:start w:w="80" w:type="dxa"/>
              <w:bottom w:w="70" w:type="dxa"/>
              <w:end w:w="80" w:type="dxa"/>
            </w:tcMar>
            <w:tcBorders>
              <w:bottom w:val="single" w:sz="2" w:color="CBD6E0"/>
            </w:tcBorders>
          </w:tcPr>
          <w:p>
            <w:pPr>
              <w:spacing w:after="0"/>
            </w:pPr>
            <w:hyperlink r:id="rId30">
              <w:r>
                <w:rPr>
                  <w:color w:val="2166A5"/>
                  <w:u w:val="single"/>
                </w:rPr>
                <w:t>Community Grants Impact Report 2024–2025</w:t>
              </w:r>
            </w:hyperlink>
          </w:p>
        </w:tc>
        <w:tc>
          <w:tcPr>
            <w:tcW w:type="dxa" w:w="2592"/>
            <w:tcMar>
              <w:top w:w="70" w:type="dxa"/>
              <w:start w:w="80" w:type="dxa"/>
              <w:bottom w:w="70" w:type="dxa"/>
              <w:end w:w="80" w:type="dxa"/>
            </w:tcMar>
            <w:tcBorders>
              <w:bottom w:val="single" w:sz="2" w:color="CBD6E0"/>
            </w:tcBorders>
          </w:tcPr>
          <w:p>
            <w:pPr>
              <w:spacing w:after="0"/>
            </w:pPr>
            <w:r>
              <w:rPr>
                <w:rFonts w:ascii="Aptos" w:hAnsi="Aptos"/>
                <w:color w:val="182433"/>
                <w:sz w:val="13"/>
              </w:rPr>
              <w:t>People served, leverage and reported outcomes</w:t>
            </w:r>
          </w:p>
        </w:tc>
      </w:tr>
      <w:tr>
        <w:trPr>
          <w:cantSplit/>
        </w:trPr>
        <w:tc>
          <w:tcPr>
            <w:tcW w:type="dxa" w:w="720"/>
            <w:shd w:fill="F3F5F7"/>
            <w:tcMar>
              <w:top w:w="70" w:type="dxa"/>
              <w:start w:w="80" w:type="dxa"/>
              <w:bottom w:w="70" w:type="dxa"/>
              <w:end w:w="80" w:type="dxa"/>
            </w:tcMar>
            <w:tcBorders>
              <w:bottom w:val="single" w:sz="2" w:color="CBD6E0"/>
            </w:tcBorders>
          </w:tcPr>
          <w:p>
            <w:pPr>
              <w:spacing w:after="0"/>
            </w:pPr>
            <w:r>
              <w:rPr>
                <w:rFonts w:ascii="Aptos" w:hAnsi="Aptos"/>
                <w:b/>
                <w:color w:val="2166A5"/>
                <w:sz w:val="13"/>
              </w:rPr>
              <w:t>S16</w:t>
            </w:r>
          </w:p>
        </w:tc>
        <w:tc>
          <w:tcPr>
            <w:tcW w:type="dxa" w:w="6480"/>
            <w:shd w:fill="F3F5F7"/>
            <w:tcMar>
              <w:top w:w="70" w:type="dxa"/>
              <w:start w:w="80" w:type="dxa"/>
              <w:bottom w:w="70" w:type="dxa"/>
              <w:end w:w="80" w:type="dxa"/>
            </w:tcMar>
            <w:tcBorders>
              <w:bottom w:val="single" w:sz="2" w:color="CBD6E0"/>
            </w:tcBorders>
          </w:tcPr>
          <w:p>
            <w:pPr>
              <w:spacing w:after="0"/>
            </w:pPr>
            <w:hyperlink r:id="rId31">
              <w:r>
                <w:rPr>
                  <w:color w:val="2166A5"/>
                  <w:u w:val="single"/>
                </w:rPr>
                <w:t>Internal Audit Follow-up — grants observations</w:t>
              </w:r>
            </w:hyperlink>
          </w:p>
        </w:tc>
        <w:tc>
          <w:tcPr>
            <w:tcW w:type="dxa" w:w="2592"/>
            <w:shd w:fill="F3F5F7"/>
            <w:tcMar>
              <w:top w:w="70" w:type="dxa"/>
              <w:start w:w="80" w:type="dxa"/>
              <w:bottom w:w="70" w:type="dxa"/>
              <w:end w:w="80" w:type="dxa"/>
            </w:tcMar>
            <w:tcBorders>
              <w:bottom w:val="single" w:sz="2" w:color="CBD6E0"/>
            </w:tcBorders>
          </w:tcPr>
          <w:p>
            <w:pPr>
              <w:spacing w:after="0"/>
            </w:pPr>
            <w:r>
              <w:rPr>
                <w:rFonts w:ascii="Aptos" w:hAnsi="Aptos"/>
                <w:color w:val="182433"/>
                <w:sz w:val="13"/>
              </w:rPr>
              <w:t>Grant control findings and status</w:t>
            </w:r>
          </w:p>
        </w:tc>
      </w:tr>
      <w:tr>
        <w:trPr>
          <w:cantSplit/>
        </w:trPr>
        <w:tc>
          <w:tcPr>
            <w:tcW w:type="dxa" w:w="720"/>
            <w:tcMar>
              <w:top w:w="70" w:type="dxa"/>
              <w:start w:w="80" w:type="dxa"/>
              <w:bottom w:w="70" w:type="dxa"/>
              <w:end w:w="80" w:type="dxa"/>
            </w:tcMar>
            <w:tcBorders>
              <w:bottom w:val="single" w:sz="2" w:color="CBD6E0"/>
            </w:tcBorders>
          </w:tcPr>
          <w:p>
            <w:pPr>
              <w:spacing w:after="0"/>
            </w:pPr>
            <w:r>
              <w:rPr>
                <w:rFonts w:ascii="Aptos" w:hAnsi="Aptos"/>
                <w:b/>
                <w:color w:val="2166A5"/>
                <w:sz w:val="13"/>
              </w:rPr>
              <w:t>S17</w:t>
            </w:r>
          </w:p>
        </w:tc>
        <w:tc>
          <w:tcPr>
            <w:tcW w:type="dxa" w:w="6480"/>
            <w:tcMar>
              <w:top w:w="70" w:type="dxa"/>
              <w:start w:w="80" w:type="dxa"/>
              <w:bottom w:w="70" w:type="dxa"/>
              <w:end w:w="80" w:type="dxa"/>
            </w:tcMar>
            <w:tcBorders>
              <w:bottom w:val="single" w:sz="2" w:color="CBD6E0"/>
            </w:tcBorders>
          </w:tcPr>
          <w:p>
            <w:pPr>
              <w:spacing w:after="0"/>
            </w:pPr>
            <w:hyperlink r:id="rId32">
              <w:r>
                <w:rPr>
                  <w:color w:val="2166A5"/>
                  <w:u w:val="single"/>
                </w:rPr>
                <w:t>Susan Stevenson letter re Hubs VfM audit</w:t>
              </w:r>
            </w:hyperlink>
          </w:p>
        </w:tc>
        <w:tc>
          <w:tcPr>
            <w:tcW w:type="dxa" w:w="2592"/>
            <w:tcMar>
              <w:top w:w="70" w:type="dxa"/>
              <w:start w:w="80" w:type="dxa"/>
              <w:bottom w:w="70" w:type="dxa"/>
              <w:end w:w="80" w:type="dxa"/>
            </w:tcMar>
            <w:tcBorders>
              <w:bottom w:val="single" w:sz="2" w:color="CBD6E0"/>
            </w:tcBorders>
          </w:tcPr>
          <w:p>
            <w:pPr>
              <w:spacing w:after="0"/>
            </w:pPr>
            <w:r>
              <w:rPr>
                <w:rFonts w:ascii="Aptos" w:hAnsi="Aptos"/>
                <w:color w:val="182433"/>
                <w:sz w:val="13"/>
              </w:rPr>
              <w:t>Primary-source dissent and questions</w:t>
            </w:r>
          </w:p>
        </w:tc>
      </w:tr>
      <w:tr>
        <w:trPr>
          <w:cantSplit/>
        </w:trPr>
        <w:tc>
          <w:tcPr>
            <w:tcW w:type="dxa" w:w="720"/>
            <w:shd w:fill="F3F5F7"/>
            <w:tcMar>
              <w:top w:w="70" w:type="dxa"/>
              <w:start w:w="80" w:type="dxa"/>
              <w:bottom w:w="70" w:type="dxa"/>
              <w:end w:w="80" w:type="dxa"/>
            </w:tcMar>
            <w:tcBorders>
              <w:bottom w:val="single" w:sz="2" w:color="CBD6E0"/>
            </w:tcBorders>
          </w:tcPr>
          <w:p>
            <w:pPr>
              <w:spacing w:after="0"/>
            </w:pPr>
            <w:r>
              <w:rPr>
                <w:rFonts w:ascii="Aptos" w:hAnsi="Aptos"/>
                <w:b/>
                <w:color w:val="2166A5"/>
                <w:sz w:val="13"/>
              </w:rPr>
              <w:t>S18</w:t>
            </w:r>
          </w:p>
        </w:tc>
        <w:tc>
          <w:tcPr>
            <w:tcW w:type="dxa" w:w="6480"/>
            <w:shd w:fill="F3F5F7"/>
            <w:tcMar>
              <w:top w:w="70" w:type="dxa"/>
              <w:start w:w="80" w:type="dxa"/>
              <w:bottom w:w="70" w:type="dxa"/>
              <w:end w:w="80" w:type="dxa"/>
            </w:tcMar>
            <w:tcBorders>
              <w:bottom w:val="single" w:sz="2" w:color="CBD6E0"/>
            </w:tcBorders>
          </w:tcPr>
          <w:p>
            <w:pPr>
              <w:spacing w:after="0"/>
            </w:pPr>
            <w:hyperlink r:id="rId33">
              <w:r>
                <w:rPr>
                  <w:color w:val="2166A5"/>
                  <w:u w:val="single"/>
                </w:rPr>
                <w:t>Housing &amp; Homelessness VfM final report</w:t>
              </w:r>
            </w:hyperlink>
          </w:p>
        </w:tc>
        <w:tc>
          <w:tcPr>
            <w:tcW w:type="dxa" w:w="2592"/>
            <w:shd w:fill="F3F5F7"/>
            <w:tcMar>
              <w:top w:w="70" w:type="dxa"/>
              <w:start w:w="80" w:type="dxa"/>
              <w:bottom w:w="70" w:type="dxa"/>
              <w:end w:w="80" w:type="dxa"/>
            </w:tcMar>
            <w:tcBorders>
              <w:bottom w:val="single" w:sz="2" w:color="CBD6E0"/>
            </w:tcBorders>
          </w:tcPr>
          <w:p>
            <w:pPr>
              <w:spacing w:after="0"/>
            </w:pPr>
            <w:r>
              <w:rPr>
                <w:rFonts w:ascii="Aptos" w:hAnsi="Aptos"/>
                <w:color w:val="182433"/>
                <w:sz w:val="13"/>
              </w:rPr>
              <w:t>Hub outcomes and audit findings</w:t>
            </w:r>
          </w:p>
        </w:tc>
      </w:tr>
      <w:tr>
        <w:trPr>
          <w:cantSplit/>
        </w:trPr>
        <w:tc>
          <w:tcPr>
            <w:tcW w:type="dxa" w:w="720"/>
            <w:tcMar>
              <w:top w:w="70" w:type="dxa"/>
              <w:start w:w="80" w:type="dxa"/>
              <w:bottom w:w="70" w:type="dxa"/>
              <w:end w:w="80" w:type="dxa"/>
            </w:tcMar>
            <w:tcBorders>
              <w:bottom w:val="single" w:sz="2" w:color="CBD6E0"/>
            </w:tcBorders>
          </w:tcPr>
          <w:p>
            <w:pPr>
              <w:spacing w:after="0"/>
            </w:pPr>
            <w:r>
              <w:rPr>
                <w:rFonts w:ascii="Aptos" w:hAnsi="Aptos"/>
                <w:b/>
                <w:color w:val="2166A5"/>
                <w:sz w:val="13"/>
              </w:rPr>
              <w:t>S19</w:t>
            </w:r>
          </w:p>
        </w:tc>
        <w:tc>
          <w:tcPr>
            <w:tcW w:type="dxa" w:w="6480"/>
            <w:tcMar>
              <w:top w:w="70" w:type="dxa"/>
              <w:start w:w="80" w:type="dxa"/>
              <w:bottom w:w="70" w:type="dxa"/>
              <w:end w:w="80" w:type="dxa"/>
            </w:tcMar>
            <w:tcBorders>
              <w:bottom w:val="single" w:sz="2" w:color="CBD6E0"/>
            </w:tcBorders>
          </w:tcPr>
          <w:p>
            <w:pPr>
              <w:spacing w:after="0"/>
            </w:pPr>
            <w:hyperlink r:id="rId34">
              <w:r>
                <w:rPr>
                  <w:color w:val="2166A5"/>
                  <w:u w:val="single"/>
                </w:rPr>
                <w:t>Housing &amp; Homelessness VfM supplemental</w:t>
              </w:r>
            </w:hyperlink>
          </w:p>
        </w:tc>
        <w:tc>
          <w:tcPr>
            <w:tcW w:type="dxa" w:w="2592"/>
            <w:tcMar>
              <w:top w:w="70" w:type="dxa"/>
              <w:start w:w="80" w:type="dxa"/>
              <w:bottom w:w="70" w:type="dxa"/>
              <w:end w:w="80" w:type="dxa"/>
            </w:tcMar>
            <w:tcBorders>
              <w:bottom w:val="single" w:sz="2" w:color="CBD6E0"/>
            </w:tcBorders>
          </w:tcPr>
          <w:p>
            <w:pPr>
              <w:spacing w:after="0"/>
            </w:pPr>
            <w:r>
              <w:rPr>
                <w:rFonts w:ascii="Aptos" w:hAnsi="Aptos"/>
                <w:color w:val="182433"/>
                <w:sz w:val="13"/>
              </w:rPr>
              <w:t>Operator cost breakdown and comparisons</w:t>
            </w:r>
          </w:p>
        </w:tc>
      </w:tr>
      <w:tr>
        <w:trPr>
          <w:cantSplit/>
        </w:trPr>
        <w:tc>
          <w:tcPr>
            <w:tcW w:type="dxa" w:w="720"/>
            <w:shd w:fill="F3F5F7"/>
            <w:tcMar>
              <w:top w:w="70" w:type="dxa"/>
              <w:start w:w="80" w:type="dxa"/>
              <w:bottom w:w="70" w:type="dxa"/>
              <w:end w:w="80" w:type="dxa"/>
            </w:tcMar>
            <w:tcBorders>
              <w:bottom w:val="single" w:sz="2" w:color="CBD6E0"/>
            </w:tcBorders>
          </w:tcPr>
          <w:p>
            <w:pPr>
              <w:spacing w:after="0"/>
            </w:pPr>
            <w:r>
              <w:rPr>
                <w:rFonts w:ascii="Aptos" w:hAnsi="Aptos"/>
                <w:b/>
                <w:color w:val="2166A5"/>
                <w:sz w:val="13"/>
              </w:rPr>
              <w:t>S20</w:t>
            </w:r>
          </w:p>
        </w:tc>
        <w:tc>
          <w:tcPr>
            <w:tcW w:type="dxa" w:w="6480"/>
            <w:shd w:fill="F3F5F7"/>
            <w:tcMar>
              <w:top w:w="70" w:type="dxa"/>
              <w:start w:w="80" w:type="dxa"/>
              <w:bottom w:w="70" w:type="dxa"/>
              <w:end w:w="80" w:type="dxa"/>
            </w:tcMar>
            <w:tcBorders>
              <w:bottom w:val="single" w:sz="2" w:color="CBD6E0"/>
            </w:tcBorders>
          </w:tcPr>
          <w:p>
            <w:pPr>
              <w:spacing w:after="0"/>
            </w:pPr>
            <w:hyperlink r:id="rId35">
              <w:r>
                <w:rPr>
                  <w:color w:val="2166A5"/>
                  <w:u w:val="single"/>
                </w:rPr>
                <w:t>Community Improvement Plans Audit</w:t>
              </w:r>
            </w:hyperlink>
          </w:p>
        </w:tc>
        <w:tc>
          <w:tcPr>
            <w:tcW w:type="dxa" w:w="2592"/>
            <w:shd w:fill="F3F5F7"/>
            <w:tcMar>
              <w:top w:w="70" w:type="dxa"/>
              <w:start w:w="80" w:type="dxa"/>
              <w:bottom w:w="70" w:type="dxa"/>
              <w:end w:w="80" w:type="dxa"/>
            </w:tcMar>
            <w:tcBorders>
              <w:bottom w:val="single" w:sz="2" w:color="CBD6E0"/>
            </w:tcBorders>
          </w:tcPr>
          <w:p>
            <w:pPr>
              <w:spacing w:after="0"/>
            </w:pPr>
            <w:r>
              <w:rPr>
                <w:rFonts w:ascii="Aptos" w:hAnsi="Aptos"/>
                <w:color w:val="182433"/>
                <w:sz w:val="13"/>
              </w:rPr>
              <w:t>10 observations and management actions</w:t>
            </w:r>
          </w:p>
        </w:tc>
      </w:tr>
      <w:tr>
        <w:trPr>
          <w:cantSplit/>
        </w:trPr>
        <w:tc>
          <w:tcPr>
            <w:tcW w:type="dxa" w:w="720"/>
            <w:tcMar>
              <w:top w:w="70" w:type="dxa"/>
              <w:start w:w="80" w:type="dxa"/>
              <w:bottom w:w="70" w:type="dxa"/>
              <w:end w:w="80" w:type="dxa"/>
            </w:tcMar>
            <w:tcBorders>
              <w:bottom w:val="single" w:sz="2" w:color="CBD6E0"/>
            </w:tcBorders>
          </w:tcPr>
          <w:p>
            <w:pPr>
              <w:spacing w:after="0"/>
            </w:pPr>
            <w:r>
              <w:rPr>
                <w:rFonts w:ascii="Aptos" w:hAnsi="Aptos"/>
                <w:b/>
                <w:color w:val="2166A5"/>
                <w:sz w:val="13"/>
              </w:rPr>
              <w:t>S21</w:t>
            </w:r>
          </w:p>
        </w:tc>
        <w:tc>
          <w:tcPr>
            <w:tcW w:type="dxa" w:w="6480"/>
            <w:tcMar>
              <w:top w:w="70" w:type="dxa"/>
              <w:start w:w="80" w:type="dxa"/>
              <w:bottom w:w="70" w:type="dxa"/>
              <w:end w:w="80" w:type="dxa"/>
            </w:tcMar>
            <w:tcBorders>
              <w:bottom w:val="single" w:sz="2" w:color="CBD6E0"/>
            </w:tcBorders>
          </w:tcPr>
          <w:p>
            <w:pPr>
              <w:spacing w:after="0"/>
            </w:pPr>
            <w:hyperlink r:id="rId36">
              <w:r>
                <w:rPr>
                  <w:color w:val="2166A5"/>
                  <w:u w:val="single"/>
                </w:rPr>
                <w:t>Performance Measurement Audit</w:t>
              </w:r>
            </w:hyperlink>
          </w:p>
        </w:tc>
        <w:tc>
          <w:tcPr>
            <w:tcW w:type="dxa" w:w="2592"/>
            <w:tcMar>
              <w:top w:w="70" w:type="dxa"/>
              <w:start w:w="80" w:type="dxa"/>
              <w:bottom w:w="70" w:type="dxa"/>
              <w:end w:w="80" w:type="dxa"/>
            </w:tcMar>
            <w:tcBorders>
              <w:bottom w:val="single" w:sz="2" w:color="CBD6E0"/>
            </w:tcBorders>
          </w:tcPr>
          <w:p>
            <w:pPr>
              <w:spacing w:after="0"/>
            </w:pPr>
            <w:r>
              <w:rPr>
                <w:rFonts w:ascii="Aptos" w:hAnsi="Aptos"/>
                <w:color w:val="182433"/>
                <w:sz w:val="13"/>
              </w:rPr>
              <w:t>Corporate framework recommendations</w:t>
            </w:r>
          </w:p>
        </w:tc>
      </w:tr>
      <w:tr>
        <w:trPr>
          <w:cantSplit/>
        </w:trPr>
        <w:tc>
          <w:tcPr>
            <w:tcW w:type="dxa" w:w="720"/>
            <w:shd w:fill="F3F5F7"/>
            <w:tcMar>
              <w:top w:w="70" w:type="dxa"/>
              <w:start w:w="80" w:type="dxa"/>
              <w:bottom w:w="70" w:type="dxa"/>
              <w:end w:w="80" w:type="dxa"/>
            </w:tcMar>
            <w:tcBorders>
              <w:bottom w:val="single" w:sz="2" w:color="CBD6E0"/>
            </w:tcBorders>
          </w:tcPr>
          <w:p>
            <w:pPr>
              <w:spacing w:after="0"/>
            </w:pPr>
            <w:r>
              <w:rPr>
                <w:rFonts w:ascii="Aptos" w:hAnsi="Aptos"/>
                <w:b/>
                <w:color w:val="2166A5"/>
                <w:sz w:val="13"/>
              </w:rPr>
              <w:t>S22</w:t>
            </w:r>
          </w:p>
        </w:tc>
        <w:tc>
          <w:tcPr>
            <w:tcW w:type="dxa" w:w="6480"/>
            <w:shd w:fill="F3F5F7"/>
            <w:tcMar>
              <w:top w:w="70" w:type="dxa"/>
              <w:start w:w="80" w:type="dxa"/>
              <w:bottom w:w="70" w:type="dxa"/>
              <w:end w:w="80" w:type="dxa"/>
            </w:tcMar>
            <w:tcBorders>
              <w:bottom w:val="single" w:sz="2" w:color="CBD6E0"/>
            </w:tcBorders>
          </w:tcPr>
          <w:p>
            <w:pPr>
              <w:spacing w:after="0"/>
            </w:pPr>
            <w:hyperlink r:id="rId37">
              <w:r>
                <w:rPr>
                  <w:color w:val="2166A5"/>
                  <w:u w:val="single"/>
                </w:rPr>
                <w:t>CEAP Audit final report</w:t>
              </w:r>
            </w:hyperlink>
          </w:p>
        </w:tc>
        <w:tc>
          <w:tcPr>
            <w:tcW w:type="dxa" w:w="2592"/>
            <w:shd w:fill="F3F5F7"/>
            <w:tcMar>
              <w:top w:w="70" w:type="dxa"/>
              <w:start w:w="80" w:type="dxa"/>
              <w:bottom w:w="70" w:type="dxa"/>
              <w:end w:w="80" w:type="dxa"/>
            </w:tcMar>
            <w:tcBorders>
              <w:bottom w:val="single" w:sz="2" w:color="CBD6E0"/>
            </w:tcBorders>
          </w:tcPr>
          <w:p>
            <w:pPr>
              <w:spacing w:after="0"/>
            </w:pPr>
            <w:r>
              <w:rPr>
                <w:rFonts w:ascii="Aptos" w:hAnsi="Aptos"/>
                <w:color w:val="182433"/>
                <w:sz w:val="13"/>
              </w:rPr>
              <w:t>17 observations/recommendations</w:t>
            </w:r>
          </w:p>
        </w:tc>
      </w:tr>
      <w:tr>
        <w:trPr>
          <w:cantSplit/>
        </w:trPr>
        <w:tc>
          <w:tcPr>
            <w:tcW w:type="dxa" w:w="720"/>
            <w:tcMar>
              <w:top w:w="70" w:type="dxa"/>
              <w:start w:w="80" w:type="dxa"/>
              <w:bottom w:w="70" w:type="dxa"/>
              <w:end w:w="80" w:type="dxa"/>
            </w:tcMar>
            <w:tcBorders>
              <w:bottom w:val="single" w:sz="2" w:color="CBD6E0"/>
            </w:tcBorders>
          </w:tcPr>
          <w:p>
            <w:pPr>
              <w:spacing w:after="0"/>
            </w:pPr>
            <w:r>
              <w:rPr>
                <w:rFonts w:ascii="Aptos" w:hAnsi="Aptos"/>
                <w:b/>
                <w:color w:val="2166A5"/>
                <w:sz w:val="13"/>
              </w:rPr>
              <w:t>S23</w:t>
            </w:r>
          </w:p>
        </w:tc>
        <w:tc>
          <w:tcPr>
            <w:tcW w:type="dxa" w:w="6480"/>
            <w:tcMar>
              <w:top w:w="70" w:type="dxa"/>
              <w:start w:w="80" w:type="dxa"/>
              <w:bottom w:w="70" w:type="dxa"/>
              <w:end w:w="80" w:type="dxa"/>
            </w:tcMar>
            <w:tcBorders>
              <w:bottom w:val="single" w:sz="2" w:color="CBD6E0"/>
            </w:tcBorders>
          </w:tcPr>
          <w:p>
            <w:pPr>
              <w:spacing w:after="0"/>
            </w:pPr>
            <w:hyperlink r:id="rId38">
              <w:r>
                <w:rPr>
                  <w:color w:val="2166A5"/>
                  <w:u w:val="single"/>
                </w:rPr>
                <w:t>Subdivision Review Process Audit</w:t>
              </w:r>
            </w:hyperlink>
          </w:p>
        </w:tc>
        <w:tc>
          <w:tcPr>
            <w:tcW w:type="dxa" w:w="2592"/>
            <w:tcMar>
              <w:top w:w="70" w:type="dxa"/>
              <w:start w:w="80" w:type="dxa"/>
              <w:bottom w:w="70" w:type="dxa"/>
              <w:end w:w="80" w:type="dxa"/>
            </w:tcMar>
            <w:tcBorders>
              <w:bottom w:val="single" w:sz="2" w:color="CBD6E0"/>
            </w:tcBorders>
          </w:tcPr>
          <w:p>
            <w:pPr>
              <w:spacing w:after="0"/>
            </w:pPr>
            <w:r>
              <w:rPr>
                <w:rFonts w:ascii="Aptos" w:hAnsi="Aptos"/>
                <w:color w:val="182433"/>
                <w:sz w:val="13"/>
              </w:rPr>
              <w:t>Streamlining and technology</w:t>
            </w:r>
          </w:p>
        </w:tc>
      </w:tr>
      <w:tr>
        <w:trPr>
          <w:cantSplit/>
        </w:trPr>
        <w:tc>
          <w:tcPr>
            <w:tcW w:type="dxa" w:w="720"/>
            <w:shd w:fill="F3F5F7"/>
            <w:tcMar>
              <w:top w:w="70" w:type="dxa"/>
              <w:start w:w="80" w:type="dxa"/>
              <w:bottom w:w="70" w:type="dxa"/>
              <w:end w:w="80" w:type="dxa"/>
            </w:tcMar>
            <w:tcBorders>
              <w:bottom w:val="single" w:sz="2" w:color="CBD6E0"/>
            </w:tcBorders>
          </w:tcPr>
          <w:p>
            <w:pPr>
              <w:spacing w:after="0"/>
            </w:pPr>
            <w:r>
              <w:rPr>
                <w:rFonts w:ascii="Aptos" w:hAnsi="Aptos"/>
                <w:b/>
                <w:color w:val="2166A5"/>
                <w:sz w:val="13"/>
              </w:rPr>
              <w:t>S24</w:t>
            </w:r>
          </w:p>
        </w:tc>
        <w:tc>
          <w:tcPr>
            <w:tcW w:type="dxa" w:w="6480"/>
            <w:shd w:fill="F3F5F7"/>
            <w:tcMar>
              <w:top w:w="70" w:type="dxa"/>
              <w:start w:w="80" w:type="dxa"/>
              <w:bottom w:w="70" w:type="dxa"/>
              <w:end w:w="80" w:type="dxa"/>
            </w:tcMar>
            <w:tcBorders>
              <w:bottom w:val="single" w:sz="2" w:color="CBD6E0"/>
            </w:tcBorders>
          </w:tcPr>
          <w:p>
            <w:pPr>
              <w:spacing w:after="0"/>
            </w:pPr>
            <w:hyperlink r:id="rId39">
              <w:r>
                <w:rPr>
                  <w:color w:val="2166A5"/>
                  <w:u w:val="single"/>
                </w:rPr>
                <w:t>Audit Committee Feb. 25, 2026 agenda / follow-up dashboard</w:t>
              </w:r>
            </w:hyperlink>
          </w:p>
        </w:tc>
        <w:tc>
          <w:tcPr>
            <w:tcW w:type="dxa" w:w="2592"/>
            <w:shd w:fill="F3F5F7"/>
            <w:tcMar>
              <w:top w:w="70" w:type="dxa"/>
              <w:start w:w="80" w:type="dxa"/>
              <w:bottom w:w="70" w:type="dxa"/>
              <w:end w:w="80" w:type="dxa"/>
            </w:tcMar>
            <w:tcBorders>
              <w:bottom w:val="single" w:sz="2" w:color="CBD6E0"/>
            </w:tcBorders>
          </w:tcPr>
          <w:p>
            <w:pPr>
              <w:spacing w:after="0"/>
            </w:pPr>
            <w:r>
              <w:rPr>
                <w:rFonts w:ascii="Aptos" w:hAnsi="Aptos"/>
                <w:color w:val="182433"/>
                <w:sz w:val="13"/>
              </w:rPr>
              <w:t>Audit plan, recommendations and status</w:t>
            </w:r>
          </w:p>
        </w:tc>
      </w:tr>
      <w:tr>
        <w:trPr>
          <w:cantSplit/>
        </w:trPr>
        <w:tc>
          <w:tcPr>
            <w:tcW w:type="dxa" w:w="720"/>
            <w:tcMar>
              <w:top w:w="70" w:type="dxa"/>
              <w:start w:w="80" w:type="dxa"/>
              <w:bottom w:w="70" w:type="dxa"/>
              <w:end w:w="80" w:type="dxa"/>
            </w:tcMar>
            <w:tcBorders>
              <w:bottom w:val="single" w:sz="2" w:color="CBD6E0"/>
            </w:tcBorders>
          </w:tcPr>
          <w:p>
            <w:pPr>
              <w:spacing w:after="0"/>
            </w:pPr>
            <w:r>
              <w:rPr>
                <w:rFonts w:ascii="Aptos" w:hAnsi="Aptos"/>
                <w:b/>
                <w:color w:val="2166A5"/>
                <w:sz w:val="13"/>
              </w:rPr>
              <w:t>S25</w:t>
            </w:r>
          </w:p>
        </w:tc>
        <w:tc>
          <w:tcPr>
            <w:tcW w:type="dxa" w:w="6480"/>
            <w:tcMar>
              <w:top w:w="70" w:type="dxa"/>
              <w:start w:w="80" w:type="dxa"/>
              <w:bottom w:w="70" w:type="dxa"/>
              <w:end w:w="80" w:type="dxa"/>
            </w:tcMar>
            <w:tcBorders>
              <w:bottom w:val="single" w:sz="2" w:color="CBD6E0"/>
            </w:tcBorders>
          </w:tcPr>
          <w:p>
            <w:pPr>
              <w:spacing w:after="0"/>
            </w:pPr>
            <w:hyperlink r:id="rId40">
              <w:r>
                <w:rPr>
                  <w:color w:val="2166A5"/>
                  <w:u w:val="single"/>
                </w:rPr>
                <w:t>2024–2033 Tax-Supported Project Detail Records</w:t>
              </w:r>
            </w:hyperlink>
          </w:p>
        </w:tc>
        <w:tc>
          <w:tcPr>
            <w:tcW w:type="dxa" w:w="2592"/>
            <w:tcMar>
              <w:top w:w="70" w:type="dxa"/>
              <w:start w:w="80" w:type="dxa"/>
              <w:bottom w:w="70" w:type="dxa"/>
              <w:end w:w="80" w:type="dxa"/>
            </w:tcMar>
            <w:tcBorders>
              <w:bottom w:val="single" w:sz="2" w:color="CBD6E0"/>
            </w:tcBorders>
          </w:tcPr>
          <w:p>
            <w:pPr>
              <w:spacing w:after="0"/>
            </w:pPr>
            <w:r>
              <w:rPr>
                <w:rFonts w:ascii="Aptos" w:hAnsi="Aptos"/>
                <w:color w:val="182433"/>
                <w:sz w:val="13"/>
              </w:rPr>
              <w:t>Named service-improvement projects</w:t>
            </w:r>
          </w:p>
        </w:tc>
      </w:tr>
      <w:tr>
        <w:trPr>
          <w:cantSplit/>
        </w:trPr>
        <w:tc>
          <w:tcPr>
            <w:tcW w:type="dxa" w:w="720"/>
            <w:shd w:fill="F3F5F7"/>
            <w:tcMar>
              <w:top w:w="70" w:type="dxa"/>
              <w:start w:w="80" w:type="dxa"/>
              <w:bottom w:w="70" w:type="dxa"/>
              <w:end w:w="80" w:type="dxa"/>
            </w:tcMar>
            <w:tcBorders>
              <w:bottom w:val="single" w:sz="2" w:color="CBD6E0"/>
            </w:tcBorders>
          </w:tcPr>
          <w:p>
            <w:pPr>
              <w:spacing w:after="0"/>
            </w:pPr>
            <w:r>
              <w:rPr>
                <w:rFonts w:ascii="Aptos" w:hAnsi="Aptos"/>
                <w:b/>
                <w:color w:val="2166A5"/>
                <w:sz w:val="13"/>
              </w:rPr>
              <w:t>S26</w:t>
            </w:r>
          </w:p>
        </w:tc>
        <w:tc>
          <w:tcPr>
            <w:tcW w:type="dxa" w:w="6480"/>
            <w:shd w:fill="F3F5F7"/>
            <w:tcMar>
              <w:top w:w="70" w:type="dxa"/>
              <w:start w:w="80" w:type="dxa"/>
              <w:bottom w:w="70" w:type="dxa"/>
              <w:end w:w="80" w:type="dxa"/>
            </w:tcMar>
            <w:tcBorders>
              <w:bottom w:val="single" w:sz="2" w:color="CBD6E0"/>
            </w:tcBorders>
          </w:tcPr>
          <w:p>
            <w:pPr>
              <w:spacing w:after="0"/>
            </w:pPr>
            <w:hyperlink r:id="rId41">
              <w:r>
                <w:rPr>
                  <w:color w:val="2166A5"/>
                  <w:u w:val="single"/>
                </w:rPr>
                <w:t>City committee and council meeting portal</w:t>
              </w:r>
            </w:hyperlink>
          </w:p>
        </w:tc>
        <w:tc>
          <w:tcPr>
            <w:tcW w:type="dxa" w:w="2592"/>
            <w:shd w:fill="F3F5F7"/>
            <w:tcMar>
              <w:top w:w="70" w:type="dxa"/>
              <w:start w:w="80" w:type="dxa"/>
              <w:bottom w:w="70" w:type="dxa"/>
              <w:end w:w="80" w:type="dxa"/>
            </w:tcMar>
            <w:tcBorders>
              <w:bottom w:val="single" w:sz="2" w:color="CBD6E0"/>
            </w:tcBorders>
          </w:tcPr>
          <w:p>
            <w:pPr>
              <w:spacing w:after="0"/>
            </w:pPr>
            <w:r>
              <w:rPr>
                <w:rFonts w:ascii="Aptos" w:hAnsi="Aptos"/>
                <w:color w:val="182433"/>
                <w:sz w:val="13"/>
              </w:rPr>
              <w:t>Project and authorization records</w:t>
            </w:r>
          </w:p>
        </w:tc>
      </w:tr>
      <w:tr>
        <w:trPr>
          <w:cantSplit/>
        </w:trPr>
        <w:tc>
          <w:tcPr>
            <w:tcW w:type="dxa" w:w="720"/>
            <w:tcMar>
              <w:top w:w="70" w:type="dxa"/>
              <w:start w:w="80" w:type="dxa"/>
              <w:bottom w:w="70" w:type="dxa"/>
              <w:end w:w="80" w:type="dxa"/>
            </w:tcMar>
            <w:tcBorders>
              <w:bottom w:val="single" w:sz="2" w:color="CBD6E0"/>
            </w:tcBorders>
          </w:tcPr>
          <w:p>
            <w:pPr>
              <w:spacing w:after="0"/>
            </w:pPr>
            <w:r>
              <w:rPr>
                <w:rFonts w:ascii="Aptos" w:hAnsi="Aptos"/>
                <w:b/>
                <w:color w:val="2166A5"/>
                <w:sz w:val="13"/>
              </w:rPr>
              <w:t>S27</w:t>
            </w:r>
          </w:p>
        </w:tc>
        <w:tc>
          <w:tcPr>
            <w:tcW w:type="dxa" w:w="6480"/>
            <w:tcMar>
              <w:top w:w="70" w:type="dxa"/>
              <w:start w:w="80" w:type="dxa"/>
              <w:bottom w:w="70" w:type="dxa"/>
              <w:end w:w="80" w:type="dxa"/>
            </w:tcMar>
            <w:tcBorders>
              <w:bottom w:val="single" w:sz="2" w:color="CBD6E0"/>
            </w:tcBorders>
          </w:tcPr>
          <w:p>
            <w:pPr>
              <w:spacing w:after="0"/>
            </w:pPr>
            <w:hyperlink r:id="rId42">
              <w:r>
                <w:rPr>
                  <w:color w:val="2166A5"/>
                  <w:u w:val="single"/>
                </w:rPr>
                <w:t>2026 Growth Management Implementation Strategy</w:t>
              </w:r>
            </w:hyperlink>
          </w:p>
        </w:tc>
        <w:tc>
          <w:tcPr>
            <w:tcW w:type="dxa" w:w="2592"/>
            <w:tcMar>
              <w:top w:w="70" w:type="dxa"/>
              <w:start w:w="80" w:type="dxa"/>
              <w:bottom w:w="70" w:type="dxa"/>
              <w:end w:w="80" w:type="dxa"/>
            </w:tcMar>
            <w:tcBorders>
              <w:bottom w:val="single" w:sz="2" w:color="CBD6E0"/>
            </w:tcBorders>
          </w:tcPr>
          <w:p>
            <w:pPr>
              <w:spacing w:after="0"/>
            </w:pPr>
            <w:r>
              <w:rPr>
                <w:rFonts w:ascii="Aptos" w:hAnsi="Aptos"/>
                <w:color w:val="182433"/>
                <w:sz w:val="13"/>
              </w:rPr>
              <w:t>Growth-infrastructure timing and reserve context</w:t>
            </w:r>
          </w:p>
        </w:tc>
      </w:tr>
      <w:tr>
        <w:trPr>
          <w:cantSplit/>
        </w:trPr>
        <w:tc>
          <w:tcPr>
            <w:tcW w:type="dxa" w:w="720"/>
            <w:shd w:fill="F3F5F7"/>
            <w:tcMar>
              <w:top w:w="70" w:type="dxa"/>
              <w:start w:w="80" w:type="dxa"/>
              <w:bottom w:w="70" w:type="dxa"/>
              <w:end w:w="80" w:type="dxa"/>
            </w:tcMar>
            <w:tcBorders>
              <w:bottom w:val="single" w:sz="2" w:color="CBD6E0"/>
            </w:tcBorders>
          </w:tcPr>
          <w:p>
            <w:pPr>
              <w:spacing w:after="0"/>
            </w:pPr>
            <w:r>
              <w:rPr>
                <w:rFonts w:ascii="Aptos" w:hAnsi="Aptos"/>
                <w:b/>
                <w:color w:val="2166A5"/>
                <w:sz w:val="13"/>
              </w:rPr>
              <w:t>S28</w:t>
            </w:r>
          </w:p>
        </w:tc>
        <w:tc>
          <w:tcPr>
            <w:tcW w:type="dxa" w:w="6480"/>
            <w:shd w:fill="F3F5F7"/>
            <w:tcMar>
              <w:top w:w="70" w:type="dxa"/>
              <w:start w:w="80" w:type="dxa"/>
              <w:bottom w:w="70" w:type="dxa"/>
              <w:end w:w="80" w:type="dxa"/>
            </w:tcMar>
            <w:tcBorders>
              <w:bottom w:val="single" w:sz="2" w:color="CBD6E0"/>
            </w:tcBorders>
          </w:tcPr>
          <w:p>
            <w:pPr>
              <w:spacing w:after="0"/>
            </w:pPr>
            <w:hyperlink r:id="rId43">
              <w:r>
                <w:rPr>
                  <w:color w:val="2166A5"/>
                  <w:u w:val="single"/>
                </w:rPr>
                <w:t>Ontario Public Sector Salary Disclosure</w:t>
              </w:r>
            </w:hyperlink>
          </w:p>
        </w:tc>
        <w:tc>
          <w:tcPr>
            <w:tcW w:type="dxa" w:w="2592"/>
            <w:shd w:fill="F3F5F7"/>
            <w:tcMar>
              <w:top w:w="70" w:type="dxa"/>
              <w:start w:w="80" w:type="dxa"/>
              <w:bottom w:w="70" w:type="dxa"/>
              <w:end w:w="80" w:type="dxa"/>
            </w:tcMar>
            <w:tcBorders>
              <w:bottom w:val="single" w:sz="2" w:color="CBD6E0"/>
            </w:tcBorders>
          </w:tcPr>
          <w:p>
            <w:pPr>
              <w:spacing w:after="0"/>
            </w:pPr>
            <w:r>
              <w:rPr>
                <w:rFonts w:ascii="Aptos" w:hAnsi="Aptos"/>
                <w:color w:val="182433"/>
                <w:sz w:val="13"/>
              </w:rPr>
              <w:t>2021–2025 City of London disclosure rows</w:t>
            </w:r>
          </w:p>
        </w:tc>
      </w:tr>
      <w:tr>
        <w:trPr>
          <w:cantSplit/>
        </w:trPr>
        <w:tc>
          <w:tcPr>
            <w:tcW w:type="dxa" w:w="720"/>
            <w:tcMar>
              <w:top w:w="70" w:type="dxa"/>
              <w:start w:w="80" w:type="dxa"/>
              <w:bottom w:w="70" w:type="dxa"/>
              <w:end w:w="80" w:type="dxa"/>
            </w:tcMar>
            <w:tcBorders>
              <w:bottom w:val="single" w:sz="2" w:color="CBD6E0"/>
            </w:tcBorders>
          </w:tcPr>
          <w:p>
            <w:pPr>
              <w:spacing w:after="0"/>
            </w:pPr>
            <w:r>
              <w:rPr>
                <w:rFonts w:ascii="Aptos" w:hAnsi="Aptos"/>
                <w:b/>
                <w:color w:val="2166A5"/>
                <w:sz w:val="13"/>
              </w:rPr>
              <w:t>S29</w:t>
            </w:r>
          </w:p>
        </w:tc>
        <w:tc>
          <w:tcPr>
            <w:tcW w:type="dxa" w:w="6480"/>
            <w:tcMar>
              <w:top w:w="70" w:type="dxa"/>
              <w:start w:w="80" w:type="dxa"/>
              <w:bottom w:w="70" w:type="dxa"/>
              <w:end w:w="80" w:type="dxa"/>
            </w:tcMar>
            <w:tcBorders>
              <w:bottom w:val="single" w:sz="2" w:color="CBD6E0"/>
            </w:tcBorders>
          </w:tcPr>
          <w:p>
            <w:pPr>
              <w:spacing w:after="0"/>
            </w:pPr>
            <w:hyperlink r:id="rId41">
              <w:r>
                <w:rPr>
                  <w:color w:val="2166A5"/>
                  <w:u w:val="single"/>
                </w:rPr>
                <w:t>PEC minutes — LJM brownfield approval</w:t>
              </w:r>
            </w:hyperlink>
          </w:p>
        </w:tc>
        <w:tc>
          <w:tcPr>
            <w:tcW w:type="dxa" w:w="2592"/>
            <w:tcMar>
              <w:top w:w="70" w:type="dxa"/>
              <w:start w:w="80" w:type="dxa"/>
              <w:bottom w:w="70" w:type="dxa"/>
              <w:end w:w="80" w:type="dxa"/>
            </w:tcMar>
            <w:tcBorders>
              <w:bottom w:val="single" w:sz="2" w:color="CBD6E0"/>
            </w:tcBorders>
          </w:tcPr>
          <w:p>
            <w:pPr>
              <w:spacing w:after="0"/>
            </w:pPr>
            <w:r>
              <w:rPr>
                <w:rFonts w:ascii="Aptos" w:hAnsi="Aptos"/>
                <w:color w:val="182433"/>
                <w:sz w:val="13"/>
              </w:rPr>
              <w:t>CIP approval status; meeting portal used where a stable deep link was not verified</w:t>
            </w:r>
          </w:p>
        </w:tc>
      </w:tr>
      <w:tr>
        <w:trPr>
          <w:cantSplit/>
        </w:trPr>
        <w:tc>
          <w:tcPr>
            <w:tcW w:type="dxa" w:w="720"/>
            <w:shd w:fill="F3F5F7"/>
            <w:tcMar>
              <w:top w:w="70" w:type="dxa"/>
              <w:start w:w="80" w:type="dxa"/>
              <w:bottom w:w="70" w:type="dxa"/>
              <w:end w:w="80" w:type="dxa"/>
            </w:tcMar>
            <w:tcBorders>
              <w:bottom w:val="single" w:sz="2" w:color="CBD6E0"/>
            </w:tcBorders>
          </w:tcPr>
          <w:p>
            <w:pPr>
              <w:spacing w:after="0"/>
            </w:pPr>
            <w:r>
              <w:rPr>
                <w:rFonts w:ascii="Aptos" w:hAnsi="Aptos"/>
                <w:b/>
                <w:color w:val="2166A5"/>
                <w:sz w:val="13"/>
              </w:rPr>
              <w:t>S30</w:t>
            </w:r>
          </w:p>
        </w:tc>
        <w:tc>
          <w:tcPr>
            <w:tcW w:type="dxa" w:w="6480"/>
            <w:shd w:fill="F3F5F7"/>
            <w:tcMar>
              <w:top w:w="70" w:type="dxa"/>
              <w:start w:w="80" w:type="dxa"/>
              <w:bottom w:w="70" w:type="dxa"/>
              <w:end w:w="80" w:type="dxa"/>
            </w:tcMar>
            <w:tcBorders>
              <w:bottom w:val="single" w:sz="2" w:color="CBD6E0"/>
            </w:tcBorders>
          </w:tcPr>
          <w:p>
            <w:pPr>
              <w:spacing w:after="0"/>
            </w:pPr>
            <w:hyperlink r:id="rId41">
              <w:r>
                <w:rPr>
                  <w:color w:val="2166A5"/>
                  <w:u w:val="single"/>
                </w:rPr>
                <w:t>City Council minutes, Oct. 27 2020</w:t>
              </w:r>
            </w:hyperlink>
          </w:p>
        </w:tc>
        <w:tc>
          <w:tcPr>
            <w:tcW w:type="dxa" w:w="2592"/>
            <w:shd w:fill="F3F5F7"/>
            <w:tcMar>
              <w:top w:w="70" w:type="dxa"/>
              <w:start w:w="80" w:type="dxa"/>
              <w:bottom w:w="70" w:type="dxa"/>
              <w:end w:w="80" w:type="dxa"/>
            </w:tcMar>
            <w:tcBorders>
              <w:bottom w:val="single" w:sz="2" w:color="CBD6E0"/>
            </w:tcBorders>
          </w:tcPr>
          <w:p>
            <w:pPr>
              <w:spacing w:after="0"/>
            </w:pPr>
            <w:r>
              <w:rPr>
                <w:rFonts w:ascii="Aptos" w:hAnsi="Aptos"/>
                <w:color w:val="182433"/>
                <w:sz w:val="13"/>
              </w:rPr>
              <w:t>YOU residential DC grant direction; meeting portal used where a stable deep link was not verified</w:t>
            </w:r>
          </w:p>
        </w:tc>
      </w:tr>
      <w:tr>
        <w:trPr>
          <w:cantSplit/>
        </w:trPr>
        <w:tc>
          <w:tcPr>
            <w:tcW w:type="dxa" w:w="720"/>
            <w:tcMar>
              <w:top w:w="70" w:type="dxa"/>
              <w:start w:w="80" w:type="dxa"/>
              <w:bottom w:w="70" w:type="dxa"/>
              <w:end w:w="80" w:type="dxa"/>
            </w:tcMar>
            <w:tcBorders>
              <w:bottom w:val="single" w:sz="2" w:color="CBD6E0"/>
            </w:tcBorders>
          </w:tcPr>
          <w:p>
            <w:pPr>
              <w:spacing w:after="0"/>
            </w:pPr>
            <w:r>
              <w:rPr>
                <w:rFonts w:ascii="Aptos" w:hAnsi="Aptos"/>
                <w:b/>
                <w:color w:val="2166A5"/>
                <w:sz w:val="13"/>
              </w:rPr>
              <w:t>S31</w:t>
            </w:r>
          </w:p>
        </w:tc>
        <w:tc>
          <w:tcPr>
            <w:tcW w:type="dxa" w:w="6480"/>
            <w:tcMar>
              <w:top w:w="70" w:type="dxa"/>
              <w:start w:w="80" w:type="dxa"/>
              <w:bottom w:w="70" w:type="dxa"/>
              <w:end w:w="80" w:type="dxa"/>
            </w:tcMar>
            <w:tcBorders>
              <w:bottom w:val="single" w:sz="2" w:color="CBD6E0"/>
            </w:tcBorders>
          </w:tcPr>
          <w:p>
            <w:pPr>
              <w:spacing w:after="0"/>
            </w:pPr>
            <w:hyperlink r:id="rId44">
              <w:r>
                <w:rPr>
                  <w:color w:val="2166A5"/>
                  <w:u w:val="single"/>
                </w:rPr>
                <w:t>London Transit Commission — 2025 Annual Report</w:t>
              </w:r>
            </w:hyperlink>
          </w:p>
        </w:tc>
        <w:tc>
          <w:tcPr>
            <w:tcW w:type="dxa" w:w="2592"/>
            <w:tcMar>
              <w:top w:w="70" w:type="dxa"/>
              <w:start w:w="80" w:type="dxa"/>
              <w:bottom w:w="70" w:type="dxa"/>
              <w:end w:w="80" w:type="dxa"/>
            </w:tcMar>
            <w:tcBorders>
              <w:bottom w:val="single" w:sz="2" w:color="CBD6E0"/>
            </w:tcBorders>
          </w:tcPr>
          <w:p>
            <w:pPr>
              <w:spacing w:after="0"/>
            </w:pPr>
            <w:r>
              <w:rPr>
                <w:rFonts w:ascii="Aptos" w:hAnsi="Aptos"/>
                <w:color w:val="182433"/>
                <w:sz w:val="13"/>
              </w:rPr>
              <w:t>Transit service, finance and capital metrics</w:t>
            </w:r>
          </w:p>
        </w:tc>
      </w:tr>
      <w:tr>
        <w:trPr>
          <w:cantSplit/>
        </w:trPr>
        <w:tc>
          <w:tcPr>
            <w:tcW w:type="dxa" w:w="720"/>
            <w:shd w:fill="F3F5F7"/>
            <w:tcMar>
              <w:top w:w="70" w:type="dxa"/>
              <w:start w:w="80" w:type="dxa"/>
              <w:bottom w:w="70" w:type="dxa"/>
              <w:end w:w="80" w:type="dxa"/>
            </w:tcMar>
            <w:tcBorders>
              <w:bottom w:val="single" w:sz="2" w:color="CBD6E0"/>
            </w:tcBorders>
          </w:tcPr>
          <w:p>
            <w:pPr>
              <w:spacing w:after="0"/>
            </w:pPr>
            <w:r>
              <w:rPr>
                <w:rFonts w:ascii="Aptos" w:hAnsi="Aptos"/>
                <w:b/>
                <w:color w:val="2166A5"/>
                <w:sz w:val="13"/>
              </w:rPr>
              <w:t>S32</w:t>
            </w:r>
          </w:p>
        </w:tc>
        <w:tc>
          <w:tcPr>
            <w:tcW w:type="dxa" w:w="6480"/>
            <w:shd w:fill="F3F5F7"/>
            <w:tcMar>
              <w:top w:w="70" w:type="dxa"/>
              <w:start w:w="80" w:type="dxa"/>
              <w:bottom w:w="70" w:type="dxa"/>
              <w:end w:w="80" w:type="dxa"/>
            </w:tcMar>
            <w:tcBorders>
              <w:bottom w:val="single" w:sz="2" w:color="CBD6E0"/>
            </w:tcBorders>
          </w:tcPr>
          <w:p>
            <w:pPr>
              <w:spacing w:after="0"/>
            </w:pPr>
            <w:hyperlink r:id="rId45">
              <w:r>
                <w:rPr>
                  <w:color w:val="2166A5"/>
                  <w:u w:val="single"/>
                </w:rPr>
                <w:t>London Police Service Board — 2025 Annual Report summary</w:t>
              </w:r>
            </w:hyperlink>
          </w:p>
        </w:tc>
        <w:tc>
          <w:tcPr>
            <w:tcW w:type="dxa" w:w="2592"/>
            <w:shd w:fill="F3F5F7"/>
            <w:tcMar>
              <w:top w:w="70" w:type="dxa"/>
              <w:start w:w="80" w:type="dxa"/>
              <w:bottom w:w="70" w:type="dxa"/>
              <w:end w:w="80" w:type="dxa"/>
            </w:tcMar>
            <w:tcBorders>
              <w:bottom w:val="single" w:sz="2" w:color="CBD6E0"/>
            </w:tcBorders>
          </w:tcPr>
          <w:p>
            <w:pPr>
              <w:spacing w:after="0"/>
            </w:pPr>
            <w:r>
              <w:rPr>
                <w:rFonts w:ascii="Aptos" w:hAnsi="Aptos"/>
                <w:color w:val="182433"/>
                <w:sz w:val="13"/>
              </w:rPr>
              <w:t>Police performance and finance</w:t>
            </w:r>
          </w:p>
        </w:tc>
      </w:tr>
      <w:tr>
        <w:trPr>
          <w:cantSplit/>
        </w:trPr>
        <w:tc>
          <w:tcPr>
            <w:tcW w:type="dxa" w:w="720"/>
            <w:tcMar>
              <w:top w:w="70" w:type="dxa"/>
              <w:start w:w="80" w:type="dxa"/>
              <w:bottom w:w="70" w:type="dxa"/>
              <w:end w:w="80" w:type="dxa"/>
            </w:tcMar>
            <w:tcBorders>
              <w:bottom w:val="single" w:sz="2" w:color="CBD6E0"/>
            </w:tcBorders>
          </w:tcPr>
          <w:p>
            <w:pPr>
              <w:spacing w:after="0"/>
            </w:pPr>
            <w:r>
              <w:rPr>
                <w:rFonts w:ascii="Aptos" w:hAnsi="Aptos"/>
                <w:b/>
                <w:color w:val="2166A5"/>
                <w:sz w:val="13"/>
              </w:rPr>
              <w:t>S33</w:t>
            </w:r>
          </w:p>
        </w:tc>
        <w:tc>
          <w:tcPr>
            <w:tcW w:type="dxa" w:w="6480"/>
            <w:tcMar>
              <w:top w:w="70" w:type="dxa"/>
              <w:start w:w="80" w:type="dxa"/>
              <w:bottom w:w="70" w:type="dxa"/>
              <w:end w:w="80" w:type="dxa"/>
            </w:tcMar>
            <w:tcBorders>
              <w:bottom w:val="single" w:sz="2" w:color="CBD6E0"/>
            </w:tcBorders>
          </w:tcPr>
          <w:p>
            <w:pPr>
              <w:spacing w:after="0"/>
            </w:pPr>
            <w:hyperlink r:id="rId46">
              <w:r>
                <w:rPr>
                  <w:color w:val="2166A5"/>
                  <w:u w:val="single"/>
                </w:rPr>
                <w:t>City of London — Fire Department</w:t>
              </w:r>
            </w:hyperlink>
          </w:p>
        </w:tc>
        <w:tc>
          <w:tcPr>
            <w:tcW w:type="dxa" w:w="2592"/>
            <w:tcMar>
              <w:top w:w="70" w:type="dxa"/>
              <w:start w:w="80" w:type="dxa"/>
              <w:bottom w:w="70" w:type="dxa"/>
              <w:end w:w="80" w:type="dxa"/>
            </w:tcMar>
            <w:tcBorders>
              <w:bottom w:val="single" w:sz="2" w:color="CBD6E0"/>
            </w:tcBorders>
          </w:tcPr>
          <w:p>
            <w:pPr>
              <w:spacing w:after="0"/>
            </w:pPr>
            <w:r>
              <w:rPr>
                <w:rFonts w:ascii="Aptos" w:hAnsi="Aptos"/>
                <w:color w:val="182433"/>
                <w:sz w:val="13"/>
              </w:rPr>
              <w:t>Fire service baseline</w:t>
            </w:r>
          </w:p>
        </w:tc>
      </w:tr>
      <w:tr>
        <w:trPr>
          <w:cantSplit/>
        </w:trPr>
        <w:tc>
          <w:tcPr>
            <w:tcW w:type="dxa" w:w="720"/>
            <w:shd w:fill="F3F5F7"/>
            <w:tcMar>
              <w:top w:w="70" w:type="dxa"/>
              <w:start w:w="80" w:type="dxa"/>
              <w:bottom w:w="70" w:type="dxa"/>
              <w:end w:w="80" w:type="dxa"/>
            </w:tcMar>
            <w:tcBorders>
              <w:bottom w:val="single" w:sz="2" w:color="CBD6E0"/>
            </w:tcBorders>
          </w:tcPr>
          <w:p>
            <w:pPr>
              <w:spacing w:after="0"/>
            </w:pPr>
            <w:r>
              <w:rPr>
                <w:rFonts w:ascii="Aptos" w:hAnsi="Aptos"/>
                <w:b/>
                <w:color w:val="2166A5"/>
                <w:sz w:val="13"/>
              </w:rPr>
              <w:t>S34</w:t>
            </w:r>
          </w:p>
        </w:tc>
        <w:tc>
          <w:tcPr>
            <w:tcW w:type="dxa" w:w="6480"/>
            <w:shd w:fill="F3F5F7"/>
            <w:tcMar>
              <w:top w:w="70" w:type="dxa"/>
              <w:start w:w="80" w:type="dxa"/>
              <w:bottom w:w="70" w:type="dxa"/>
              <w:end w:w="80" w:type="dxa"/>
            </w:tcMar>
            <w:tcBorders>
              <w:bottom w:val="single" w:sz="2" w:color="CBD6E0"/>
            </w:tcBorders>
          </w:tcPr>
          <w:p>
            <w:pPr>
              <w:spacing w:after="0"/>
            </w:pPr>
            <w:hyperlink r:id="rId47">
              <w:r>
                <w:rPr>
                  <w:color w:val="2166A5"/>
                  <w:u w:val="single"/>
                </w:rPr>
                <w:t>City of London — Water system</w:t>
              </w:r>
            </w:hyperlink>
          </w:p>
        </w:tc>
        <w:tc>
          <w:tcPr>
            <w:tcW w:type="dxa" w:w="2592"/>
            <w:shd w:fill="F3F5F7"/>
            <w:tcMar>
              <w:top w:w="70" w:type="dxa"/>
              <w:start w:w="80" w:type="dxa"/>
              <w:bottom w:w="70" w:type="dxa"/>
              <w:end w:w="80" w:type="dxa"/>
            </w:tcMar>
            <w:tcBorders>
              <w:bottom w:val="single" w:sz="2" w:color="CBD6E0"/>
            </w:tcBorders>
          </w:tcPr>
          <w:p>
            <w:pPr>
              <w:spacing w:after="0"/>
            </w:pPr>
            <w:r>
              <w:rPr>
                <w:rFonts w:ascii="Aptos" w:hAnsi="Aptos"/>
                <w:color w:val="182433"/>
                <w:sz w:val="13"/>
              </w:rPr>
              <w:t>Annual water reporting</w:t>
            </w:r>
          </w:p>
        </w:tc>
      </w:tr>
      <w:tr>
        <w:trPr>
          <w:cantSplit/>
        </w:trPr>
        <w:tc>
          <w:tcPr>
            <w:tcW w:type="dxa" w:w="720"/>
            <w:tcMar>
              <w:top w:w="70" w:type="dxa"/>
              <w:start w:w="80" w:type="dxa"/>
              <w:bottom w:w="70" w:type="dxa"/>
              <w:end w:w="80" w:type="dxa"/>
            </w:tcMar>
            <w:tcBorders>
              <w:bottom w:val="single" w:sz="2" w:color="CBD6E0"/>
            </w:tcBorders>
          </w:tcPr>
          <w:p>
            <w:pPr>
              <w:spacing w:after="0"/>
            </w:pPr>
            <w:r>
              <w:rPr>
                <w:rFonts w:ascii="Aptos" w:hAnsi="Aptos"/>
                <w:b/>
                <w:color w:val="2166A5"/>
                <w:sz w:val="13"/>
              </w:rPr>
              <w:t>S35</w:t>
            </w:r>
          </w:p>
        </w:tc>
        <w:tc>
          <w:tcPr>
            <w:tcW w:type="dxa" w:w="6480"/>
            <w:tcMar>
              <w:top w:w="70" w:type="dxa"/>
              <w:start w:w="80" w:type="dxa"/>
              <w:bottom w:w="70" w:type="dxa"/>
              <w:end w:w="80" w:type="dxa"/>
            </w:tcMar>
            <w:tcBorders>
              <w:bottom w:val="single" w:sz="2" w:color="CBD6E0"/>
            </w:tcBorders>
          </w:tcPr>
          <w:p>
            <w:pPr>
              <w:spacing w:after="0"/>
            </w:pPr>
            <w:hyperlink r:id="rId48">
              <w:r>
                <w:rPr>
                  <w:color w:val="2166A5"/>
                  <w:u w:val="single"/>
                </w:rPr>
                <w:t>City of London — Sewers and wastewater</w:t>
              </w:r>
            </w:hyperlink>
          </w:p>
        </w:tc>
        <w:tc>
          <w:tcPr>
            <w:tcW w:type="dxa" w:w="2592"/>
            <w:tcMar>
              <w:top w:w="70" w:type="dxa"/>
              <w:start w:w="80" w:type="dxa"/>
              <w:bottom w:w="70" w:type="dxa"/>
              <w:end w:w="80" w:type="dxa"/>
            </w:tcMar>
            <w:tcBorders>
              <w:bottom w:val="single" w:sz="2" w:color="CBD6E0"/>
            </w:tcBorders>
          </w:tcPr>
          <w:p>
            <w:pPr>
              <w:spacing w:after="0"/>
            </w:pPr>
            <w:r>
              <w:rPr>
                <w:rFonts w:ascii="Aptos" w:hAnsi="Aptos"/>
                <w:color w:val="182433"/>
                <w:sz w:val="13"/>
              </w:rPr>
              <w:t>Wastewater/stormwater reports</w:t>
            </w:r>
          </w:p>
        </w:tc>
      </w:tr>
      <w:tr>
        <w:trPr>
          <w:cantSplit/>
        </w:trPr>
        <w:tc>
          <w:tcPr>
            <w:tcW w:type="dxa" w:w="720"/>
            <w:shd w:fill="F3F5F7"/>
            <w:tcMar>
              <w:top w:w="70" w:type="dxa"/>
              <w:start w:w="80" w:type="dxa"/>
              <w:bottom w:w="70" w:type="dxa"/>
              <w:end w:w="80" w:type="dxa"/>
            </w:tcMar>
            <w:tcBorders>
              <w:bottom w:val="single" w:sz="2" w:color="CBD6E0"/>
            </w:tcBorders>
          </w:tcPr>
          <w:p>
            <w:pPr>
              <w:spacing w:after="0"/>
            </w:pPr>
            <w:r>
              <w:rPr>
                <w:rFonts w:ascii="Aptos" w:hAnsi="Aptos"/>
                <w:b/>
                <w:color w:val="2166A5"/>
                <w:sz w:val="13"/>
              </w:rPr>
              <w:t>S36</w:t>
            </w:r>
          </w:p>
        </w:tc>
        <w:tc>
          <w:tcPr>
            <w:tcW w:type="dxa" w:w="6480"/>
            <w:shd w:fill="F3F5F7"/>
            <w:tcMar>
              <w:top w:w="70" w:type="dxa"/>
              <w:start w:w="80" w:type="dxa"/>
              <w:bottom w:w="70" w:type="dxa"/>
              <w:end w:w="80" w:type="dxa"/>
            </w:tcMar>
            <w:tcBorders>
              <w:bottom w:val="single" w:sz="2" w:color="CBD6E0"/>
            </w:tcBorders>
          </w:tcPr>
          <w:p>
            <w:pPr>
              <w:spacing w:after="0"/>
            </w:pPr>
            <w:hyperlink r:id="rId49">
              <w:r>
                <w:rPr>
                  <w:color w:val="2166A5"/>
                  <w:u w:val="single"/>
                </w:rPr>
                <w:t>City of London — CEAP dashboard and reports</w:t>
              </w:r>
            </w:hyperlink>
          </w:p>
        </w:tc>
        <w:tc>
          <w:tcPr>
            <w:tcW w:type="dxa" w:w="2592"/>
            <w:shd w:fill="F3F5F7"/>
            <w:tcMar>
              <w:top w:w="70" w:type="dxa"/>
              <w:start w:w="80" w:type="dxa"/>
              <w:bottom w:w="70" w:type="dxa"/>
              <w:end w:w="80" w:type="dxa"/>
            </w:tcMar>
            <w:tcBorders>
              <w:bottom w:val="single" w:sz="2" w:color="CBD6E0"/>
            </w:tcBorders>
          </w:tcPr>
          <w:p>
            <w:pPr>
              <w:spacing w:after="0"/>
            </w:pPr>
            <w:r>
              <w:rPr>
                <w:rFonts w:ascii="Aptos" w:hAnsi="Aptos"/>
                <w:color w:val="182433"/>
                <w:sz w:val="13"/>
              </w:rPr>
              <w:t>200 actions and reporting links</w:t>
            </w:r>
          </w:p>
        </w:tc>
      </w:tr>
      <w:tr>
        <w:trPr>
          <w:cantSplit/>
        </w:trPr>
        <w:tc>
          <w:tcPr>
            <w:tcW w:type="dxa" w:w="720"/>
            <w:tcMar>
              <w:top w:w="70" w:type="dxa"/>
              <w:start w:w="80" w:type="dxa"/>
              <w:bottom w:w="70" w:type="dxa"/>
              <w:end w:w="80" w:type="dxa"/>
            </w:tcMar>
            <w:tcBorders>
              <w:bottom w:val="single" w:sz="2" w:color="CBD6E0"/>
            </w:tcBorders>
          </w:tcPr>
          <w:p>
            <w:pPr>
              <w:spacing w:after="0"/>
            </w:pPr>
            <w:r>
              <w:rPr>
                <w:rFonts w:ascii="Aptos" w:hAnsi="Aptos"/>
                <w:b/>
                <w:color w:val="2166A5"/>
                <w:sz w:val="13"/>
              </w:rPr>
              <w:t>S37</w:t>
            </w:r>
          </w:p>
        </w:tc>
        <w:tc>
          <w:tcPr>
            <w:tcW w:type="dxa" w:w="6480"/>
            <w:tcMar>
              <w:top w:w="70" w:type="dxa"/>
              <w:start w:w="80" w:type="dxa"/>
              <w:bottom w:w="70" w:type="dxa"/>
              <w:end w:w="80" w:type="dxa"/>
            </w:tcMar>
            <w:tcBorders>
              <w:bottom w:val="single" w:sz="2" w:color="CBD6E0"/>
            </w:tcBorders>
          </w:tcPr>
          <w:p>
            <w:pPr>
              <w:spacing w:after="0"/>
            </w:pPr>
            <w:hyperlink r:id="rId50">
              <w:r>
                <w:rPr>
                  <w:color w:val="2166A5"/>
                  <w:u w:val="single"/>
                </w:rPr>
                <w:t>City of London contact/council roster</w:t>
              </w:r>
            </w:hyperlink>
          </w:p>
        </w:tc>
        <w:tc>
          <w:tcPr>
            <w:tcW w:type="dxa" w:w="2592"/>
            <w:tcMar>
              <w:top w:w="70" w:type="dxa"/>
              <w:start w:w="80" w:type="dxa"/>
              <w:bottom w:w="70" w:type="dxa"/>
              <w:end w:w="80" w:type="dxa"/>
            </w:tcMar>
            <w:tcBorders>
              <w:bottom w:val="single" w:sz="2" w:color="CBD6E0"/>
            </w:tcBorders>
          </w:tcPr>
          <w:p>
            <w:pPr>
              <w:spacing w:after="0"/>
            </w:pPr>
            <w:r>
              <w:rPr>
                <w:rFonts w:ascii="Aptos" w:hAnsi="Aptos"/>
                <w:color w:val="182433"/>
                <w:sz w:val="13"/>
              </w:rPr>
              <w:t>Current council role check at lock date</w:t>
            </w:r>
          </w:p>
        </w:tc>
      </w:tr>
    </w:tbl>
    <w:p>
      <w:pPr>
        <w:pageBreakBefore/>
        <w:spacing w:after="60"/>
      </w:pPr>
      <w:r>
        <w:rPr>
          <w:rFonts w:ascii="Aptos" w:hAnsi="Aptos"/>
          <w:b/>
          <w:color w:val="2166A5"/>
          <w:sz w:val="16"/>
        </w:rPr>
        <w:t>APPENDIX D</w:t>
      </w:r>
    </w:p>
    <w:p>
      <w:pPr>
        <w:pStyle w:val="Heading1"/>
      </w:pPr>
      <w:r>
        <w:t>Reproducible calculations and caveats</w:t>
      </w:r>
    </w:p>
    <w:tbl>
      <w:tblPr>
        <w:tblW w:type="auto" w:w="0"/>
        <w:jc w:val="center"/>
        <w:tblLayout w:type="fixed"/>
        <w:tblLook w:firstColumn="1" w:firstRow="1" w:lastColumn="0" w:lastRow="0" w:noHBand="0" w:noVBand="1" w:val="04A0"/>
      </w:tblPr>
      <w:tblGrid>
        <w:gridCol w:w="2527"/>
        <w:gridCol w:w="2527"/>
        <w:gridCol w:w="2527"/>
        <w:gridCol w:w="2527"/>
      </w:tblGrid>
      <w:tr>
        <w:trPr>
          <w:tblHeader w:val="true"/>
        </w:trPr>
        <w:tc>
          <w:tcPr>
            <w:tcW w:type="dxa" w:w="2376"/>
            <w:shd w:fill="17365D"/>
            <w:tcMar>
              <w:top w:w="90" w:type="dxa"/>
              <w:start w:w="90" w:type="dxa"/>
              <w:bottom w:w="90" w:type="dxa"/>
              <w:end w:w="90" w:type="dxa"/>
            </w:tcMar>
          </w:tcPr>
          <w:p>
            <w:pPr>
              <w:spacing w:after="0"/>
            </w:pPr>
            <w:r>
              <w:rPr>
                <w:rFonts w:ascii="Aptos" w:hAnsi="Aptos"/>
                <w:b/>
                <w:color w:val="FFFFFF"/>
                <w:sz w:val="14"/>
              </w:rPr>
              <w:t>Measure</w:t>
            </w:r>
          </w:p>
        </w:tc>
        <w:tc>
          <w:tcPr>
            <w:tcW w:type="dxa" w:w="3096"/>
            <w:shd w:fill="17365D"/>
            <w:tcMar>
              <w:top w:w="90" w:type="dxa"/>
              <w:start w:w="90" w:type="dxa"/>
              <w:bottom w:w="90" w:type="dxa"/>
              <w:end w:w="90" w:type="dxa"/>
            </w:tcMar>
          </w:tcPr>
          <w:p>
            <w:pPr>
              <w:spacing w:after="0"/>
            </w:pPr>
            <w:r>
              <w:rPr>
                <w:rFonts w:ascii="Aptos" w:hAnsi="Aptos"/>
                <w:b/>
                <w:color w:val="FFFFFF"/>
                <w:sz w:val="14"/>
              </w:rPr>
              <w:t>Formula</w:t>
            </w:r>
          </w:p>
        </w:tc>
        <w:tc>
          <w:tcPr>
            <w:tcW w:type="dxa" w:w="1800"/>
            <w:shd w:fill="17365D"/>
            <w:tcMar>
              <w:top w:w="90" w:type="dxa"/>
              <w:start w:w="90" w:type="dxa"/>
              <w:bottom w:w="90" w:type="dxa"/>
              <w:end w:w="90" w:type="dxa"/>
            </w:tcMar>
          </w:tcPr>
          <w:p>
            <w:pPr>
              <w:spacing w:after="0"/>
            </w:pPr>
            <w:r>
              <w:rPr>
                <w:rFonts w:ascii="Aptos" w:hAnsi="Aptos"/>
                <w:b/>
                <w:color w:val="FFFFFF"/>
                <w:sz w:val="14"/>
              </w:rPr>
              <w:t>Result</w:t>
            </w:r>
          </w:p>
        </w:tc>
        <w:tc>
          <w:tcPr>
            <w:tcW w:type="dxa" w:w="2520"/>
            <w:shd w:fill="17365D"/>
            <w:tcMar>
              <w:top w:w="90" w:type="dxa"/>
              <w:start w:w="90" w:type="dxa"/>
              <w:bottom w:w="90" w:type="dxa"/>
              <w:end w:w="90" w:type="dxa"/>
            </w:tcMar>
          </w:tcPr>
          <w:p>
            <w:pPr>
              <w:spacing w:after="0"/>
            </w:pPr>
            <w:r>
              <w:rPr>
                <w:rFonts w:ascii="Aptos" w:hAnsi="Aptos"/>
                <w:b/>
                <w:color w:val="FFFFFF"/>
                <w:sz w:val="14"/>
              </w:rPr>
              <w:t>Caveat</w:t>
            </w:r>
          </w:p>
        </w:tc>
      </w:tr>
      <w:tr>
        <w:trPr>
          <w:cantSplit/>
        </w:trPr>
        <w:tc>
          <w:tcPr>
            <w:tcW w:type="dxa" w:w="2376"/>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Infrastructure gap, 2019→2023</w:t>
            </w:r>
          </w:p>
        </w:tc>
        <w:tc>
          <w:tcPr>
            <w:tcW w:type="dxa" w:w="3096"/>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(946.1 − 568.8) ÷ 568.8</w:t>
            </w:r>
          </w:p>
        </w:tc>
        <w:tc>
          <w:tcPr>
            <w:tcW w:type="dxa" w:w="180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66.33%</w:t>
            </w:r>
          </w:p>
        </w:tc>
        <w:tc>
          <w:tcPr>
            <w:tcW w:type="dxa" w:w="252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Rounded to 66.3%.</w:t>
            </w:r>
          </w:p>
        </w:tc>
      </w:tr>
      <w:tr>
        <w:trPr>
          <w:cantSplit/>
        </w:trPr>
        <w:tc>
          <w:tcPr>
            <w:tcW w:type="dxa" w:w="2376"/>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Infrastructure gap, 2014→2023</w:t>
            </w:r>
          </w:p>
        </w:tc>
        <w:tc>
          <w:tcPr>
            <w:tcW w:type="dxa" w:w="3096"/>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(946.1 − 466.1) ÷ 466.1</w:t>
            </w:r>
          </w:p>
        </w:tc>
        <w:tc>
          <w:tcPr>
            <w:tcW w:type="dxa" w:w="180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102.98%</w:t>
            </w:r>
          </w:p>
        </w:tc>
        <w:tc>
          <w:tcPr>
            <w:tcW w:type="dxa" w:w="252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Rounded to 103.0%.</w:t>
            </w:r>
          </w:p>
        </w:tc>
      </w:tr>
      <w:tr>
        <w:trPr>
          <w:cantSplit/>
        </w:trPr>
        <w:tc>
          <w:tcPr>
            <w:tcW w:type="dxa" w:w="2376"/>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2025 PSAB surplus variance</w:t>
            </w:r>
          </w:p>
        </w:tc>
        <w:tc>
          <w:tcPr>
            <w:tcW w:type="dxa" w:w="3096"/>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463.734 − 281.085</w:t>
            </w:r>
          </w:p>
        </w:tc>
        <w:tc>
          <w:tcPr>
            <w:tcW w:type="dxa" w:w="180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$182.649M</w:t>
            </w:r>
          </w:p>
        </w:tc>
        <w:tc>
          <w:tcPr>
            <w:tcW w:type="dxa" w:w="252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PSAB annual surplus.</w:t>
            </w:r>
          </w:p>
        </w:tc>
      </w:tr>
      <w:tr>
        <w:trPr>
          <w:cantSplit/>
        </w:trPr>
        <w:tc>
          <w:tcPr>
            <w:tcW w:type="dxa" w:w="2376"/>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2025 PSAB surplus variance %</w:t>
            </w:r>
          </w:p>
        </w:tc>
        <w:tc>
          <w:tcPr>
            <w:tcW w:type="dxa" w:w="3096"/>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182.649 ÷ 281.085</w:t>
            </w:r>
          </w:p>
        </w:tc>
        <w:tc>
          <w:tcPr>
            <w:tcW w:type="dxa" w:w="180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64.98%</w:t>
            </w:r>
          </w:p>
        </w:tc>
        <w:tc>
          <w:tcPr>
            <w:tcW w:type="dxa" w:w="252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Rounded to 65.0%.</w:t>
            </w:r>
          </w:p>
        </w:tc>
      </w:tr>
      <w:tr>
        <w:trPr>
          <w:cantSplit/>
        </w:trPr>
        <w:tc>
          <w:tcPr>
            <w:tcW w:type="dxa" w:w="2376"/>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Procurement no-value rate</w:t>
            </w:r>
          </w:p>
        </w:tc>
        <w:tc>
          <w:tcPr>
            <w:tcW w:type="dxa" w:w="3096"/>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1,394 ÷ 1,978</w:t>
            </w:r>
          </w:p>
        </w:tc>
        <w:tc>
          <w:tcPr>
            <w:tcW w:type="dxa" w:w="180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70.475%</w:t>
            </w:r>
          </w:p>
        </w:tc>
        <w:tc>
          <w:tcPr>
            <w:tcW w:type="dxa" w:w="252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Rounded to 70.5%; scraped records.</w:t>
            </w:r>
          </w:p>
        </w:tc>
      </w:tr>
      <w:tr>
        <w:trPr>
          <w:cantSplit/>
        </w:trPr>
        <w:tc>
          <w:tcPr>
            <w:tcW w:type="dxa" w:w="2376"/>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Top-10 known-value share</w:t>
            </w:r>
          </w:p>
        </w:tc>
        <w:tc>
          <w:tcPr>
            <w:tcW w:type="dxa" w:w="3096"/>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732.1 ÷ 1,022.3</w:t>
            </w:r>
          </w:p>
        </w:tc>
        <w:tc>
          <w:tcPr>
            <w:tcW w:type="dxa" w:w="180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71.61%</w:t>
            </w:r>
          </w:p>
        </w:tc>
        <w:tc>
          <w:tcPr>
            <w:tcW w:type="dxa" w:w="252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Rounded to 71.6%.</w:t>
            </w:r>
          </w:p>
        </w:tc>
      </w:tr>
      <w:tr>
        <w:trPr>
          <w:cantSplit/>
        </w:trPr>
        <w:tc>
          <w:tcPr>
            <w:tcW w:type="dxa" w:w="2376"/>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Construction known-value share</w:t>
            </w:r>
          </w:p>
        </w:tc>
        <w:tc>
          <w:tcPr>
            <w:tcW w:type="dxa" w:w="3096"/>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964.1 ÷ 1,022.3</w:t>
            </w:r>
          </w:p>
        </w:tc>
        <w:tc>
          <w:tcPr>
            <w:tcW w:type="dxa" w:w="180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94.31%</w:t>
            </w:r>
          </w:p>
        </w:tc>
        <w:tc>
          <w:tcPr>
            <w:tcW w:type="dxa" w:w="252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Rounded to 94.3%.</w:t>
            </w:r>
          </w:p>
        </w:tc>
      </w:tr>
      <w:tr>
        <w:trPr>
          <w:cantSplit/>
        </w:trPr>
        <w:tc>
          <w:tcPr>
            <w:tcW w:type="dxa" w:w="2376"/>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DC 2025 net change</w:t>
            </w:r>
          </w:p>
        </w:tc>
        <w:tc>
          <w:tcPr>
            <w:tcW w:type="dxa" w:w="3096"/>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68.5 − 106.2</w:t>
            </w:r>
          </w:p>
        </w:tc>
        <w:tc>
          <w:tcPr>
            <w:tcW w:type="dxa" w:w="180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−$37.7M</w:t>
            </w:r>
          </w:p>
        </w:tc>
        <w:tc>
          <w:tcPr>
            <w:tcW w:type="dxa" w:w="252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Contribution less disbursement.</w:t>
            </w:r>
          </w:p>
        </w:tc>
      </w:tr>
      <w:tr>
        <w:trPr>
          <w:cantSplit/>
        </w:trPr>
        <w:tc>
          <w:tcPr>
            <w:tcW w:type="dxa" w:w="2376"/>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DC high-stress net change</w:t>
            </w:r>
          </w:p>
        </w:tc>
        <w:tc>
          <w:tcPr>
            <w:tcW w:type="dxa" w:w="3096"/>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68.5×0.8 − 106.2×1.1</w:t>
            </w:r>
          </w:p>
        </w:tc>
        <w:tc>
          <w:tcPr>
            <w:tcW w:type="dxa" w:w="180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−$62.02M</w:t>
            </w:r>
          </w:p>
        </w:tc>
        <w:tc>
          <w:tcPr>
            <w:tcW w:type="dxa" w:w="252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Rounded to −$62.0M.</w:t>
            </w:r>
          </w:p>
        </w:tc>
      </w:tr>
      <w:tr>
        <w:trPr>
          <w:cantSplit/>
        </w:trPr>
        <w:tc>
          <w:tcPr>
            <w:tcW w:type="dxa" w:w="2376"/>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DC recovery net change</w:t>
            </w:r>
          </w:p>
        </w:tc>
        <w:tc>
          <w:tcPr>
            <w:tcW w:type="dxa" w:w="3096"/>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68.5×1.3 − 106.2</w:t>
            </w:r>
          </w:p>
        </w:tc>
        <w:tc>
          <w:tcPr>
            <w:tcW w:type="dxa" w:w="180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−$17.15M</w:t>
            </w:r>
          </w:p>
        </w:tc>
        <w:tc>
          <w:tcPr>
            <w:tcW w:type="dxa" w:w="252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Rounded to −$17.1M.</w:t>
            </w:r>
          </w:p>
        </w:tc>
      </w:tr>
      <w:tr>
        <w:trPr>
          <w:cantSplit/>
        </w:trPr>
        <w:tc>
          <w:tcPr>
            <w:tcW w:type="dxa" w:w="2376"/>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HAF target overage</w:t>
            </w:r>
          </w:p>
        </w:tc>
        <w:tc>
          <w:tcPr>
            <w:tcW w:type="dxa" w:w="3096"/>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4,284 − 3,991</w:t>
            </w:r>
          </w:p>
        </w:tc>
        <w:tc>
          <w:tcPr>
            <w:tcW w:type="dxa" w:w="180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293 units</w:t>
            </w:r>
          </w:p>
        </w:tc>
        <w:tc>
          <w:tcPr>
            <w:tcW w:type="dxa" w:w="252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Permit measure.</w:t>
            </w:r>
          </w:p>
        </w:tc>
      </w:tr>
      <w:tr>
        <w:trPr>
          <w:cantSplit/>
        </w:trPr>
        <w:tc>
          <w:tcPr>
            <w:tcW w:type="dxa" w:w="2376"/>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HAF overage %</w:t>
            </w:r>
          </w:p>
        </w:tc>
        <w:tc>
          <w:tcPr>
            <w:tcW w:type="dxa" w:w="3096"/>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293 ÷ 3,991</w:t>
            </w:r>
          </w:p>
        </w:tc>
        <w:tc>
          <w:tcPr>
            <w:tcW w:type="dxa" w:w="180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7.34%</w:t>
            </w:r>
          </w:p>
        </w:tc>
        <w:tc>
          <w:tcPr>
            <w:tcW w:type="dxa" w:w="252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Rounded to 7.3%.</w:t>
            </w:r>
          </w:p>
        </w:tc>
      </w:tr>
      <w:tr>
        <w:trPr>
          <w:cantSplit/>
        </w:trPr>
        <w:tc>
          <w:tcPr>
            <w:tcW w:type="dxa" w:w="2376"/>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Affordable stages stated</w:t>
            </w:r>
          </w:p>
        </w:tc>
        <w:tc>
          <w:tcPr>
            <w:tcW w:type="dxa" w:w="3096"/>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675 + 1,360</w:t>
            </w:r>
          </w:p>
        </w:tc>
        <w:tc>
          <w:tcPr>
            <w:tcW w:type="dxa" w:w="180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2,035 units</w:t>
            </w:r>
          </w:p>
        </w:tc>
        <w:tc>
          <w:tcPr>
            <w:tcW w:type="dxa" w:w="252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Progress + planning.</w:t>
            </w:r>
          </w:p>
        </w:tc>
      </w:tr>
      <w:tr>
        <w:trPr>
          <w:cantSplit/>
        </w:trPr>
        <w:tc>
          <w:tcPr>
            <w:tcW w:type="dxa" w:w="2376"/>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Affordable unclassified remainder</w:t>
            </w:r>
          </w:p>
        </w:tc>
        <w:tc>
          <w:tcPr>
            <w:tcW w:type="dxa" w:w="3096"/>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2,576 − 2,035</w:t>
            </w:r>
          </w:p>
        </w:tc>
        <w:tc>
          <w:tcPr>
            <w:tcW w:type="dxa" w:w="180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541 units</w:t>
            </w:r>
          </w:p>
        </w:tc>
        <w:tc>
          <w:tcPr>
            <w:tcW w:type="dxa" w:w="252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Other stages not broken out in summary.</w:t>
            </w:r>
          </w:p>
        </w:tc>
      </w:tr>
      <w:tr>
        <w:trPr>
          <w:cantSplit/>
        </w:trPr>
        <w:tc>
          <w:tcPr>
            <w:tcW w:type="dxa" w:w="2376"/>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Multi-year grant ledger</w:t>
            </w:r>
          </w:p>
        </w:tc>
        <w:tc>
          <w:tcPr>
            <w:tcW w:type="dxa" w:w="3096"/>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Sum of 42 published allocations</w:t>
            </w:r>
          </w:p>
        </w:tc>
        <w:tc>
          <w:tcPr>
            <w:tcW w:type="dxa" w:w="180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$9,200,000</w:t>
            </w:r>
          </w:p>
        </w:tc>
        <w:tc>
          <w:tcPr>
            <w:tcW w:type="dxa" w:w="2520"/>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Exactly reconciles to program total.</w:t>
            </w:r>
          </w:p>
        </w:tc>
      </w:tr>
      <w:tr>
        <w:trPr>
          <w:cantSplit/>
        </w:trPr>
        <w:tc>
          <w:tcPr>
            <w:tcW w:type="dxa" w:w="2376"/>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LPS strategic completion</w:t>
            </w:r>
          </w:p>
        </w:tc>
        <w:tc>
          <w:tcPr>
            <w:tcW w:type="dxa" w:w="3096"/>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288 ÷ 375</w:t>
            </w:r>
          </w:p>
        </w:tc>
        <w:tc>
          <w:tcPr>
            <w:tcW w:type="dxa" w:w="180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76.8%</w:t>
            </w:r>
          </w:p>
        </w:tc>
        <w:tc>
          <w:tcPr>
            <w:tcW w:type="dxa" w:w="2520"/>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4"/>
              </w:rPr>
              <w:t>Reported as 77%.</w:t>
            </w:r>
          </w:p>
        </w:tc>
      </w:tr>
    </w:tbl>
    <w:p>
      <w:pPr>
        <w:spacing w:after="0"/>
      </w:pPr>
    </w:p>
    <w:p>
      <w:pPr>
        <w:pStyle w:val="Heading2"/>
      </w:pPr>
      <w:r>
        <w:t>HHI note</w:t>
      </w:r>
    </w:p>
    <w:p>
      <w:pPr>
        <w:spacing w:after="100"/>
      </w:pPr>
      <w:r>
        <w:t>HHI = Σ(shareᵢ × 100)² across vendors in the known-value award pool. The pool excludes most posted awards by record count and is dominated by infrastructure dollars. Corporate-family normalization was not performed. The statistic is therefore descriptive of one partial dataset, not a relevant antitrust market and not an evaluation of competition law.</w:t>
      </w:r>
    </w:p>
    <w:p>
      <w:pPr>
        <w:pStyle w:val="Heading2"/>
      </w:pPr>
      <w:r>
        <w:t>Rounding</w:t>
      </w:r>
    </w:p>
    <w:p>
      <w:pPr>
        <w:spacing w:after="100"/>
      </w:pPr>
      <w:r>
        <w:t>Source figures are retained at their published precision. Displayed totals may differ by $0.1 million because of source rounding. Percentages are recalculated from displayed values unless the source’s own percentage is explicitly used.</w:t>
      </w:r>
    </w:p>
    <w:p>
      <w:pPr>
        <w:pageBreakBefore/>
        <w:spacing w:after="60"/>
      </w:pPr>
      <w:r>
        <w:rPr>
          <w:rFonts w:ascii="Aptos" w:hAnsi="Aptos"/>
          <w:b/>
          <w:color w:val="2166A5"/>
          <w:sz w:val="16"/>
        </w:rPr>
        <w:t>APPENDIX E</w:t>
      </w:r>
    </w:p>
    <w:p>
      <w:pPr>
        <w:pStyle w:val="Heading1"/>
      </w:pPr>
      <w:r>
        <w:t>Public-use wording and verification declaration</w:t>
      </w:r>
    </w:p>
    <w:p>
      <w:pPr>
        <w:pStyle w:val="Heading2"/>
      </w:pPr>
      <w:r>
        <w:t>Safe formulations</w:t>
      </w:r>
    </w:p>
    <w:tbl>
      <w:tblPr>
        <w:tblW w:type="auto" w:w="0"/>
        <w:jc w:val="center"/>
        <w:tblLayout w:type="fixed"/>
        <w:tblLook w:firstColumn="1" w:firstRow="1" w:lastColumn="0" w:lastRow="0" w:noHBand="0" w:noVBand="1" w:val="04A0"/>
      </w:tblPr>
      <w:tblGrid>
        <w:gridCol w:w="5054"/>
        <w:gridCol w:w="5054"/>
      </w:tblGrid>
      <w:tr>
        <w:trPr>
          <w:tblHeader w:val="true"/>
        </w:trPr>
        <w:tc>
          <w:tcPr>
            <w:tcW w:type="dxa" w:w="4824"/>
            <w:shd w:fill="17365D"/>
            <w:tcMar>
              <w:top w:w="90" w:type="dxa"/>
              <w:start w:w="90" w:type="dxa"/>
              <w:bottom w:w="90" w:type="dxa"/>
              <w:end w:w="90" w:type="dxa"/>
            </w:tcMar>
          </w:tcPr>
          <w:p>
            <w:pPr>
              <w:spacing w:after="0"/>
            </w:pPr>
            <w:r>
              <w:rPr>
                <w:rFonts w:ascii="Aptos" w:hAnsi="Aptos"/>
                <w:b/>
                <w:color w:val="FFFFFF"/>
                <w:sz w:val="15"/>
              </w:rPr>
              <w:t>Use</w:t>
            </w:r>
          </w:p>
        </w:tc>
        <w:tc>
          <w:tcPr>
            <w:tcW w:type="dxa" w:w="4824"/>
            <w:shd w:fill="17365D"/>
            <w:tcMar>
              <w:top w:w="90" w:type="dxa"/>
              <w:start w:w="90" w:type="dxa"/>
              <w:bottom w:w="90" w:type="dxa"/>
              <w:end w:w="90" w:type="dxa"/>
            </w:tcMar>
          </w:tcPr>
          <w:p>
            <w:pPr>
              <w:spacing w:after="0"/>
            </w:pPr>
            <w:r>
              <w:rPr>
                <w:rFonts w:ascii="Aptos" w:hAnsi="Aptos"/>
                <w:b/>
                <w:color w:val="FFFFFF"/>
                <w:sz w:val="15"/>
              </w:rPr>
              <w:t>Avoid</w:t>
            </w:r>
          </w:p>
        </w:tc>
      </w:tr>
      <w:tr>
        <w:trPr>
          <w:cantSplit/>
        </w:trPr>
        <w:tc>
          <w:tcPr>
            <w:tcW w:type="dxa" w:w="4824"/>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5"/>
              </w:rPr>
              <w:t>“The 2026 budget update reports…” plus support type.</w:t>
            </w:r>
          </w:p>
        </w:tc>
        <w:tc>
          <w:tcPr>
            <w:tcW w:type="dxa" w:w="4824"/>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5"/>
              </w:rPr>
              <w:t>“The City spent…” when the source is budget authority.</w:t>
            </w:r>
          </w:p>
        </w:tc>
      </w:tr>
      <w:tr>
        <w:trPr>
          <w:cantSplit/>
        </w:trPr>
        <w:tc>
          <w:tcPr>
            <w:tcW w:type="dxa" w:w="4824"/>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5"/>
              </w:rPr>
              <w:t>“Of 1,978 awards scraped from the posted portal…”</w:t>
            </w:r>
          </w:p>
        </w:tc>
        <w:tc>
          <w:tcPr>
            <w:tcW w:type="dxa" w:w="4824"/>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5"/>
              </w:rPr>
              <w:t>“Of all City procurement…”</w:t>
            </w:r>
          </w:p>
        </w:tc>
      </w:tr>
      <w:tr>
        <w:trPr>
          <w:cantSplit/>
        </w:trPr>
        <w:tc>
          <w:tcPr>
            <w:tcW w:type="dxa" w:w="4824"/>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5"/>
              </w:rPr>
              <w:t>“The 2025 DC report shows…”</w:t>
            </w:r>
          </w:p>
        </w:tc>
        <w:tc>
          <w:tcPr>
            <w:tcW w:type="dxa" w:w="4824"/>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5"/>
              </w:rPr>
              <w:t>“The reserve is insolvent / sustainable” without commitments and forecasts.</w:t>
            </w:r>
          </w:p>
        </w:tc>
      </w:tr>
      <w:tr>
        <w:trPr>
          <w:cantSplit/>
        </w:trPr>
        <w:tc>
          <w:tcPr>
            <w:tcW w:type="dxa" w:w="4824"/>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5"/>
              </w:rPr>
              <w:t>“The Sunshine List disclosure population…”</w:t>
            </w:r>
          </w:p>
        </w:tc>
        <w:tc>
          <w:tcPr>
            <w:tcW w:type="dxa" w:w="4824"/>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5"/>
              </w:rPr>
              <w:t>“City headcount” or “management complement.”</w:t>
            </w:r>
          </w:p>
        </w:tc>
      </w:tr>
      <w:tr>
        <w:trPr>
          <w:cantSplit/>
        </w:trPr>
        <w:tc>
          <w:tcPr>
            <w:tcW w:type="dxa" w:w="4824"/>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5"/>
              </w:rPr>
              <w:t>“Permitted / tracked / in progress / planned / occupied”</w:t>
            </w:r>
          </w:p>
        </w:tc>
        <w:tc>
          <w:tcPr>
            <w:tcW w:type="dxa" w:w="4824"/>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5"/>
              </w:rPr>
              <w:t>Using “homes built” for mixed stages.</w:t>
            </w:r>
          </w:p>
        </w:tc>
      </w:tr>
      <w:tr>
        <w:trPr>
          <w:cantSplit/>
        </w:trPr>
        <w:tc>
          <w:tcPr>
            <w:tcW w:type="dxa" w:w="4824"/>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5"/>
              </w:rPr>
              <w:t>“MNP observed…” and identify the audit.</w:t>
            </w:r>
          </w:p>
        </w:tc>
        <w:tc>
          <w:tcPr>
            <w:tcW w:type="dxa" w:w="4824"/>
            <w:shd w:fill="F3F5F7"/>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5"/>
              </w:rPr>
              <w:t>Treating a councillor’s letter as an audit finding.</w:t>
            </w:r>
          </w:p>
        </w:tc>
      </w:tr>
      <w:tr>
        <w:trPr>
          <w:cantSplit/>
        </w:trPr>
        <w:tc>
          <w:tcPr>
            <w:tcW w:type="dxa" w:w="4824"/>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5"/>
              </w:rPr>
              <w:t>“The public record does not provide an end-to-end reconciliation.”</w:t>
            </w:r>
          </w:p>
        </w:tc>
        <w:tc>
          <w:tcPr>
            <w:tcW w:type="dxa" w:w="4824"/>
            <w:tcMar>
              <w:top w:w="75" w:type="dxa"/>
              <w:start w:w="90" w:type="dxa"/>
              <w:bottom w:w="75" w:type="dxa"/>
              <w:end w:w="90" w:type="dxa"/>
            </w:tcMar>
            <w:tcBorders>
              <w:bottom w:val="single" w:sz="2" w:color="CBD6E0"/>
            </w:tcBorders>
          </w:tcPr>
          <w:p>
            <w:pPr>
              <w:spacing w:after="0" w:line="240" w:lineRule="auto"/>
            </w:pPr>
            <w:r>
              <w:rPr>
                <w:rFonts w:ascii="Aptos" w:hAnsi="Aptos"/>
                <w:color w:val="182433"/>
                <w:sz w:val="15"/>
              </w:rPr>
              <w:t>Fraud, corruption, steering, favouritism or waste without direct evidence.</w:t>
            </w:r>
          </w:p>
        </w:tc>
      </w:tr>
    </w:tbl>
    <w:p>
      <w:pPr>
        <w:spacing w:after="0"/>
      </w:pPr>
    </w:p>
    <w:p>
      <w:pPr>
        <w:pStyle w:val="Heading2"/>
      </w:pPr>
      <w:r>
        <w:t>Verification declaration</w:t>
      </w:r>
    </w:p>
    <w:p>
      <w:pPr>
        <w:spacing w:after="100"/>
      </w:pPr>
      <w:r>
        <w:t>Final Public Edition 5.0 verifies that retained material claims are traceable to identified sources, calculations are reproducible from displayed inputs, and limitations are placed beside conclusions. It does not certify source completeness or accuracy, examine original books and records, confirm legal compliance, or provide professional assurance.</w:t>
      </w:r>
    </w:p>
    <w:tbl>
      <w:tblPr>
        <w:tblW w:type="auto" w:w="0"/>
        <w:jc w:val="center"/>
        <w:tblLayout w:type="fixed"/>
        <w:tblLook w:firstColumn="1" w:firstRow="1" w:lastColumn="0" w:lastRow="0" w:noHBand="0" w:noVBand="1" w:val="04A0"/>
      </w:tblPr>
      <w:tblGrid>
        <w:gridCol w:w="115"/>
        <w:gridCol w:w="9648"/>
      </w:tblGrid>
      <w:tr>
        <w:tc>
          <w:tcPr>
            <w:tcW w:type="dxa" w:w="5054"/>
            <w:shd w:fill="2F7D5A"/>
            <w:tcMar>
              <w:top w:w="0" w:type="dxa"/>
              <w:start w:w="0" w:type="dxa"/>
              <w:bottom w:w="0" w:type="dxa"/>
              <w:end w:w="0" w:type="dxa"/>
            </w:tcMar>
          </w:tcPr>
          <w:p/>
        </w:tc>
        <w:tc>
          <w:tcPr>
            <w:tcW w:type="dxa" w:w="5054"/>
            <w:shd w:fill="E4F2EA"/>
            <w:tcMar>
              <w:top w:w="130" w:type="dxa"/>
              <w:start w:w="160" w:type="dxa"/>
              <w:bottom w:w="130" w:type="dxa"/>
              <w:end w:w="160" w:type="dxa"/>
            </w:tcMar>
            <w:tcBorders>
              <w:top w:val="single" w:sz="4" w:color="CBD6E0"/>
              <w:bottom w:val="single" w:sz="4" w:color="CBD6E0"/>
              <w:right w:val="single" w:sz="4" w:color="CBD6E0"/>
            </w:tcBorders>
          </w:tcPr>
          <w:p>
            <w:pPr>
              <w:spacing w:after="60"/>
            </w:pPr>
            <w:r>
              <w:rPr>
                <w:rFonts w:ascii="Aptos" w:hAnsi="Aptos"/>
                <w:b/>
                <w:color w:val="2F7D5A"/>
                <w:sz w:val="18"/>
              </w:rPr>
              <w:t>Publication rule</w:t>
            </w:r>
          </w:p>
          <w:p>
            <w:pPr>
              <w:spacing w:after="0" w:line="252" w:lineRule="auto"/>
            </w:pPr>
            <w:r>
              <w:t>Use only Final Public Edition 5.0 and later source-locked supplements for outreach. Do not circulate Edition 1.0 or any pre-July 26, 2026 draft as fact-checked final work. If a source changes, update the claim register and preserve the prior version rather than silently overwriting the evidence trail.</w:t>
            </w:r>
          </w:p>
        </w:tc>
      </w:tr>
    </w:tbl>
    <w:p>
      <w:pPr>
        <w:spacing w:after="0"/>
      </w:pPr>
    </w:p>
    <w:p>
      <w:pPr>
        <w:pStyle w:val="Heading2"/>
      </w:pPr>
      <w:r>
        <w:t>Final disposition</w:t>
      </w:r>
    </w:p>
    <w:p>
      <w:pPr>
        <w:spacing w:after="100"/>
      </w:pPr>
      <w:r>
        <w:t>All twelve research asks are now finished as evidence work: eight are built to the full depth supported by public records, and four are complete audit specifications with filing-ready requests for the City-held records required to reach transaction-level findings. No blank or placeholder module remains.</w:t>
      </w:r>
    </w:p>
    <w:p>
      <w:pPr>
        <w:spacing w:before="40" w:after="100"/>
      </w:pPr>
      <w:r>
        <w:rPr>
          <w:rFonts w:ascii="Aptos" w:hAnsi="Aptos"/>
          <w:b/>
          <w:color w:val="2166A5"/>
          <w:sz w:val="14"/>
        </w:rPr>
        <w:t xml:space="preserve">SOURCE LOCK  </w:t>
      </w:r>
      <w:r>
        <w:rPr>
          <w:rFonts w:ascii="Aptos" w:hAnsi="Aptos"/>
          <w:b/>
          <w:color w:val="182433"/>
          <w:sz w:val="14"/>
        </w:rPr>
        <w:t>C001–C048; R1–R6; S01–S37</w:t>
      </w:r>
    </w:p>
    <w:sectPr w:rsidR="00FC693F" w:rsidRPr="0006063C" w:rsidSect="00034616">
      <w:headerReference w:type="default" r:id="rId51"/>
      <w:footerReference w:type="default" r:id="rId52"/>
      <w:headerReference w:type="first" r:id="rId53"/>
      <w:headerReference w:type="even" r:id="rId54"/>
      <w:pgSz w:w="12240" w:h="15840"/>
      <w:pgMar w:top="1008" w:right="1066" w:bottom="1008" w:left="1066" w:header="403"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Aptos" w:hAnsi="Aptos"/>
        <w:color w:val="5E6B78"/>
        <w:sz w:val="13"/>
      </w:rPr>
      <w:t xml:space="preserve">Independent review  ·  Evidence lock 2026-08-20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Pr>
    <w:r>
      <w:rPr>
        <w:rFonts w:ascii="Aptos" w:hAnsi="Aptos"/>
        <w:b/>
        <w:color w:val="5E6B78"/>
        <w:sz w:val="13"/>
      </w:rPr>
      <w:t>LONDON PUBLIC-RECORDS LEDGER  ·  FINAL PUBLIC EDITION 5.0</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4" w:lineRule="auto" w:after="100"/>
    </w:pPr>
    <w:rPr>
      <w:rFonts w:ascii="Georgia" w:hAnsi="Georgia"/>
      <w:color w:val="182433"/>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val="0"/>
      <w:spacing w:before="360" w:after="160"/>
      <w:outlineLvl w:val="0"/>
    </w:pPr>
    <w:rPr>
      <w:rFonts w:asciiTheme="majorHAnsi" w:eastAsiaTheme="majorEastAsia" w:hAnsiTheme="majorHAnsi" w:cstheme="majorBidi" w:ascii="Aptos Display" w:hAnsi="Aptos Display"/>
      <w:b/>
      <w:bCs/>
      <w:color w:val="17365D"/>
      <w:sz w:val="40"/>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ptos" w:hAnsi="Aptos"/>
      <w:b/>
      <w:bCs/>
      <w:color w:val="2166A5"/>
      <w:sz w:val="27"/>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ascii="Aptos" w:hAnsi="Aptos"/>
      <w:b/>
      <w:bCs/>
      <w:color w:val="182433"/>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pBdr>
        <w:bottom w:val="single" w:sz="8" w:space="4" w:color="4F81BD" w:themeColor="accent1"/>
      </w:pBdr>
      <w:spacing w:after="200" w:line="240" w:lineRule="auto" w:before="0"/>
      <w:contextualSpacing/>
    </w:pPr>
    <w:rPr>
      <w:rFonts w:asciiTheme="majorHAnsi" w:eastAsiaTheme="majorEastAsia" w:hAnsiTheme="majorHAnsi" w:cstheme="majorBidi" w:ascii="Aptos Display" w:hAnsi="Aptos Display"/>
      <w:b/>
      <w:color w:val="17365D"/>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ptos" w:hAnsi="Aptos"/>
      <w:b/>
      <w:bCs/>
      <w:i/>
      <w:color w:val="5E6B78"/>
      <w:sz w:val="14"/>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pPr>
      <w:spacing w:after="60" w:line="240" w:lineRule="auto"/>
    </w:pPr>
    <w:rPr>
      <w:rFonts w:ascii="Aptos" w:hAnsi="Aptos"/>
      <w:color w:val="5E6B78"/>
      <w:sz w:val="1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hyperlink" Target="https://getinvolved.london.ca/download_file/1485/545" TargetMode="External"/><Relationship Id="rId17" Type="http://schemas.openxmlformats.org/officeDocument/2006/relationships/hyperlink" Target="https://hdp-ca-prod-app-ldnca-getinvolved-files.s3.ca-central-1.amazonaws.com/9517/7514/0976/Staff_Report_-_2025_Annual_Development_Report.pdf" TargetMode="External"/><Relationship Id="rId18" Type="http://schemas.openxmlformats.org/officeDocument/2006/relationships/hyperlink" Target="https://london.ca/newsroom/london-exceeds-housing-targets-second-consecutive-year-0" TargetMode="External"/><Relationship Id="rId19" Type="http://schemas.openxmlformats.org/officeDocument/2006/relationships/hyperlink" Target="https://london.ca/government/property-taxes-finance/corporate-asset-management" TargetMode="External"/><Relationship Id="rId20" Type="http://schemas.openxmlformats.org/officeDocument/2006/relationships/hyperlink" Target="https://london.bidsandtenders.ca/Module/Tenders/en" TargetMode="External"/><Relationship Id="rId21" Type="http://schemas.openxmlformats.org/officeDocument/2006/relationships/hyperlink" Target="https://london.ca/council-policies/procurement-goods-services-policy" TargetMode="External"/><Relationship Id="rId22" Type="http://schemas.openxmlformats.org/officeDocument/2006/relationships/hyperlink" Target="https://pub-london.escribemeetings.com/filestream.ashx?DocumentId=123379" TargetMode="External"/><Relationship Id="rId23" Type="http://schemas.openxmlformats.org/officeDocument/2006/relationships/hyperlink" Target="https://pub-london.escribemeetings.com/filestream.ashx?DocumentId=124083" TargetMode="External"/><Relationship Id="rId24" Type="http://schemas.openxmlformats.org/officeDocument/2006/relationships/hyperlink" Target="https://london.ca/sites/default/files/2025-06/2025-05-26%20Staff%20Report%20-%202024%20Annual%20Report%20on%20DC%20Reserve%20Funds%20and%20DC%20Monitoring.pdf" TargetMode="External"/><Relationship Id="rId25" Type="http://schemas.openxmlformats.org/officeDocument/2006/relationships/hyperlink" Target="https://pub-london.escribemeetings.com/filestream.ashx?DocumentId=123943" TargetMode="External"/><Relationship Id="rId26" Type="http://schemas.openxmlformats.org/officeDocument/2006/relationships/hyperlink" Target="https://london.ca/government/property-taxes-finance/financial-reporting" TargetMode="External"/><Relationship Id="rId27" Type="http://schemas.openxmlformats.org/officeDocument/2006/relationships/hyperlink" Target="https://london.ca/sites/default/files/2026-07/2025-12-31%20Consolidated%20Financial%20Statements%20of%20the%20Corporation%20of%20the%20City%20of%20London%20-%20Final%20AODA.pdf" TargetMode="External"/><Relationship Id="rId28" Type="http://schemas.openxmlformats.org/officeDocument/2006/relationships/hyperlink" Target="https://pub-london.escribemeetings.com/filestream.ashx?DocumentId=124417" TargetMode="External"/><Relationship Id="rId29" Type="http://schemas.openxmlformats.org/officeDocument/2006/relationships/hyperlink" Target="https://london.ca/living-london/community-services/city-london-community-grants-program" TargetMode="External"/><Relationship Id="rId30" Type="http://schemas.openxmlformats.org/officeDocument/2006/relationships/hyperlink" Target="https://pub-london.escribemeetings.com/filestream.ashx?DocumentId=124227" TargetMode="External"/><Relationship Id="rId31" Type="http://schemas.openxmlformats.org/officeDocument/2006/relationships/hyperlink" Target="https://pub-london.escribemeetings.com/filestream.ashx?DocumentId=122078" TargetMode="External"/><Relationship Id="rId32" Type="http://schemas.openxmlformats.org/officeDocument/2006/relationships/hyperlink" Target="https://pub-london.escribemeetings.com/filestream.ashx?DocumentId=118758" TargetMode="External"/><Relationship Id="rId33" Type="http://schemas.openxmlformats.org/officeDocument/2006/relationships/hyperlink" Target="https://pub-london.escribemeetings.com/filestream.ashx?DocumentId=118897" TargetMode="External"/><Relationship Id="rId34" Type="http://schemas.openxmlformats.org/officeDocument/2006/relationships/hyperlink" Target="https://pub-london.escribemeetings.com/filestream.ashx?DocumentId=122203" TargetMode="External"/><Relationship Id="rId35" Type="http://schemas.openxmlformats.org/officeDocument/2006/relationships/hyperlink" Target="https://pub-london.escribemeetings.com/filestream.ashx?DocumentId=122079" TargetMode="External"/><Relationship Id="rId36" Type="http://schemas.openxmlformats.org/officeDocument/2006/relationships/hyperlink" Target="https://pub-london.escribemeetings.com/filestream.ashx?DocumentId=120169" TargetMode="External"/><Relationship Id="rId37" Type="http://schemas.openxmlformats.org/officeDocument/2006/relationships/hyperlink" Target="https://pub-london.escribemeetings.com/filestream.ashx?DocumentId=124415" TargetMode="External"/><Relationship Id="rId38" Type="http://schemas.openxmlformats.org/officeDocument/2006/relationships/hyperlink" Target="https://pub-london.escribemeetings.com/filestream.ashx?DocumentId=124414" TargetMode="External"/><Relationship Id="rId39" Type="http://schemas.openxmlformats.org/officeDocument/2006/relationships/hyperlink" Target="https://pub-london.escribemeetings.com/Meeting.aspx?Id=043f3ba1-6bd0-4128-9a15-fdd8c4b30da8&amp;lang=English" TargetMode="External"/><Relationship Id="rId40" Type="http://schemas.openxmlformats.org/officeDocument/2006/relationships/hyperlink" Target="https://london.ca/government/property-taxes-finance/municipal-budget" TargetMode="External"/><Relationship Id="rId41" Type="http://schemas.openxmlformats.org/officeDocument/2006/relationships/hyperlink" Target="https://london.ca/government/council-civic-administration/council-committee-meetings" TargetMode="External"/><Relationship Id="rId42" Type="http://schemas.openxmlformats.org/officeDocument/2006/relationships/hyperlink" Target="https://getinvolved.london.ca/download_file/430/571" TargetMode="External"/><Relationship Id="rId43" Type="http://schemas.openxmlformats.org/officeDocument/2006/relationships/hyperlink" Target="https://www.ontario.ca/page/public-sector-salary-disclosure" TargetMode="External"/><Relationship Id="rId44" Type="http://schemas.openxmlformats.org/officeDocument/2006/relationships/hyperlink" Target="https://www.londontransit.ca/wp-content/uploads/2026/05/2025-LTC-Annual-Report-pdfa.pdf" TargetMode="External"/><Relationship Id="rId45" Type="http://schemas.openxmlformats.org/officeDocument/2006/relationships/hyperlink" Target="https://londonpoliceserviceboard.com/2025-annual-report-of-london-police-service/" TargetMode="External"/><Relationship Id="rId46" Type="http://schemas.openxmlformats.org/officeDocument/2006/relationships/hyperlink" Target="https://london.ca/living-london/community-services/fire-emergency-services/london-fire-department" TargetMode="External"/><Relationship Id="rId47" Type="http://schemas.openxmlformats.org/officeDocument/2006/relationships/hyperlink" Target="https://london.ca/living-london/water-environment/water-system" TargetMode="External"/><Relationship Id="rId48" Type="http://schemas.openxmlformats.org/officeDocument/2006/relationships/hyperlink" Target="https://london.ca/living-london/water-environment/sewers-wastewater" TargetMode="External"/><Relationship Id="rId49" Type="http://schemas.openxmlformats.org/officeDocument/2006/relationships/hyperlink" Target="https://getinvolved.london.ca/climate" TargetMode="External"/><Relationship Id="rId50" Type="http://schemas.openxmlformats.org/officeDocument/2006/relationships/hyperlink" Target="https://london.ca/contact-us" TargetMode="External"/><Relationship Id="rId51" Type="http://schemas.openxmlformats.org/officeDocument/2006/relationships/header" Target="header1.xml"/><Relationship Id="rId52" Type="http://schemas.openxmlformats.org/officeDocument/2006/relationships/footer" Target="footer1.xml"/><Relationship Id="rId53" Type="http://schemas.openxmlformats.org/officeDocument/2006/relationships/header" Target="header2.xml"/><Relationship Id="rId5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London Public-Records Ledger — Final Public Edition 5.0</dc:title>
  <dc:subject>Independent, source-locked municipal accountability review</dc:subject>
  <dc:creator>Raj Gandhi</dc:creator>
  <cp:keywords>City of London, Ontario, municipal accountability, public records, procurement, capital, housing, grants</cp:keywords>
  <dc:description>Evidence lock 2026-08-20</dc:description>
  <cp:lastModifiedBy/>
  <cp:revision>1</cp:revision>
  <dcterms:created xsi:type="dcterms:W3CDTF">2013-12-23T23:15:00Z</dcterms:created>
  <dcterms:modified xsi:type="dcterms:W3CDTF">2013-12-23T23:15:00Z</dcterms:modified>
  <cp:category/>
</cp:coreProperties>
</file>